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4B" w:rsidRPr="00135C5C" w:rsidRDefault="00F7554B" w:rsidP="00135C5C">
      <w:pPr>
        <w:pStyle w:val="a7"/>
      </w:pPr>
      <w:bookmarkStart w:id="0" w:name="_GoBack"/>
      <w:bookmarkEnd w:id="0"/>
      <w:r w:rsidRPr="00135C5C">
        <w:t>РЕГИОНАЛЬНАЯ ПРОГРАММА ИНФОРМАТИЗАЦИИ ОБРАЗОВАНИЯ ОМСКОЙ ОБЛАСТИ</w:t>
      </w:r>
    </w:p>
    <w:p w:rsidR="00F7554B" w:rsidRDefault="00F7554B" w:rsidP="00F7554B">
      <w:pPr>
        <w:jc w:val="center"/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</w:pPr>
      <w:r w:rsidRPr="004F0F25"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  <w:t>Панков А.П.</w:t>
      </w:r>
    </w:p>
    <w:p w:rsidR="00F7554B" w:rsidRDefault="00F7554B" w:rsidP="00F7554B">
      <w:pPr>
        <w:jc w:val="center"/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</w:pPr>
      <w:r w:rsidRPr="004F0F25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Главное управление образования Омской </w:t>
      </w:r>
      <w:proofErr w:type="gramStart"/>
      <w:r w:rsidRPr="004F0F25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>области ,</w:t>
      </w:r>
      <w:proofErr w:type="gramEnd"/>
      <w:r w:rsidRPr="004F0F25">
        <w:rPr>
          <w:rFonts w:ascii="Verdana" w:eastAsia="Times New Roman" w:hAnsi="Verdana"/>
          <w:b/>
          <w:bCs/>
          <w:color w:val="000000"/>
          <w:sz w:val="17"/>
          <w:szCs w:val="17"/>
          <w:lang w:eastAsia="ru-RU"/>
        </w:rPr>
        <w:t xml:space="preserve"> Омск</w:t>
      </w:r>
    </w:p>
    <w:p w:rsidR="00F7554B" w:rsidRDefault="00F7554B" w:rsidP="00F7554B">
      <w:pPr>
        <w:jc w:val="center"/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</w:pPr>
      <w:r w:rsidRPr="004F0F25"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  <w:t>Текст доклада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"Необходимо уже со школьной скамьи готовить детей к жизни в обществе, основанном на информационных технологиях. Чтобы достичь этой цели, нужно снабдить школы компьютерным оборудованием и подключить их к Интернету. В России этот процесс уже начался, но это только половина дела. Ещё более важно научить компьютерной грамоте учителей…"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материалам корпорации "Интел", 2003 г.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в регионах РФ принято более двух десятков региональных программ информатизации образования, поэтому есть возможность проанализировать опыт коллег, занимающихся аналогичной работой. Всем известна шутка о том, что не стоит изобретать велосипед, и если где-то он уже изобретён, то логичнее всего было бы им воспользоваться.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анализ этих документов и лучшего из них – Московской программы информатизации образования, уже награждённой премией Президента РФ, вызывает вопросы, которые пока, к сожалению, остаются без ответа.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Главный из них можно сформулировать так: "Что же получит каждый конкретный школьник, каждый конкретный учитель в результате реализации региональных программ информатизации образования?".</w:t>
      </w:r>
    </w:p>
    <w:p w:rsidR="0005189E" w:rsidRDefault="0005189E" w:rsidP="00F7554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7554B"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типа "1 компьютер на 80, 50, 30 и т.д. человек" либо "10 часов доступа в Интернет каждому классу в месяц" на самом деле очень слабо касается каждого конкретного человека.</w:t>
      </w:r>
    </w:p>
    <w:p w:rsidR="00F7554B" w:rsidRDefault="0005189E" w:rsidP="00F7554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7554B"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Такой новостью, которая отсутствует как в региональных, так и в Федеральной программе информатизации образования (зато есть в Международных) является компьютерная грамотность.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Компьютерная грамотность населения сегодня это интегральный показатель для оценки усилий в сфере информатизации, поскольку для своего решения требует создания соответствующей инфраструктуры, подготовки кадров, разработки методического обеспечения и выпуска учебников. В Федеральной целевой программе "Развитие единой образовательной информационной среды, 2001-2005 гг." нет такого показателя, хотя именно </w:t>
      </w:r>
      <w:proofErr w:type="gramStart"/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вопроса ликвидации компьютерной неграмотности населения это</w:t>
      </w:r>
      <w:proofErr w:type="gramEnd"/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индикатор реального вхождения страны в новое информационное сообщество для общения в котором население должно иметь соответствующие навыки. Грамотность нового века сегодня определяет не только культурный, образовательный, но и в конечном итоге, экономический потенциал страны, то есть решение этого вопроса по своей сути является политическим.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этой связи полезно вспомнить опыт ликвидации безграмотности, связанный с соответствующим Декретом Советской власти, принятым в 1923 г. Хотя новая грамотность принципиально отличается от обычной, технология ликвидации безграмотности может быть задействована та же, что и 80 лет назад. Возможно, что в связи со срочностью, необходимо принятие Закона о ликвидации неграмотности или хотя бы специального проекта аналогичного тому, что был принят в Японии, объявившей ещё в конце прошлого века в очередной раз о проекте достижения всеобщей компьютерной грамотности. К 2003 г. по этому проекту все тринадцатилетние японские школьники должны быть компьютерно-грамотными. В японском варианте представлен простой и понятный вариант национальной программы компьютеризации образования. В США аналоги такой программы постоянно реализуются (без объявления их национальными, установки сроков и возраста обучаемых) и называются традиционными курсами по компьютерной грамотности.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сожалению, в программе информатизации образования, реализуемой сегодня в РФ, нет адекватного отражения значения компьютерной грамотности, которое явилось следствием, прежде всего, глубокого кризиса педагогической науки. 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первый взгляд вполне невинная замена термина "компьютерная грамотность" на безликую "информационно-коммуникативную компетентность в сфере информационных технологий" на практике приводит к невозможности сформировать чёткие критерии в реализации ФЦП "Развитие единой образовательной информационной среды, 2001-2005 гг." (потере цели) и научно необоснованным (неоправданным) затратам.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Компьютеры, которыми сегодня оснастили школы на миллионы долларов, через два года обесценятся в два раза. При этом должна как минимум остаться компьютерная грамотность всех учителей и детей в возрасте от 10 до 16 лет – тогда траты были не напрасны.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Альтернатива перед страной следующая – либо безликая и неопределённая сегодня "компетентность", которую теоретически можно получить и без компьютеров и сегодня невозможно измерить либо "компьютерная грамотность", достигаемая только при соответствующей инфраструктуре с чётким определением и измерением, представленным в Омском проекте.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с компетентностью первоначально заявленная цель "каждой сельской школе – один компьютер" трансформируется в "один компьютер на 80 учащихся", затем в "один – на 60 человек" и т.д. При этом сегодня, когда отсутствуют критерии достижения компетентности непонятно где он – научно обоснованный критерий выполнения Федеральной программы информатизации образования: "1 на 30" или "1 на 10" или каждому по компьютеру?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с компьютерной грамотностью появляется возможность совершенно точно оценить необходимые ресурсы. Для выдачи удостоверения установленного образца пользователю ПК сегодня требуется пройти курс в 72 часа. Умножаем 72 на число учащихся и учителей и получаем необходимое время работы на ПК. Имея критерии в 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достижении цели, можно оценить, достаточно ли 72 часов для освоения грамоты. Кому-то будет много, кому-то – недостаточно.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Сразу становится ясно – достаточно или нет компьютеров для освоения хотя бы грамотности в средней школе. Аналогично появится возможность обосновать минимальные затраты школы на Интернет, который сегодня стал составной частью грамотности.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Правда, как показывает практика, недостаточно сформулировать чёткие критерии в компьютерной грамотности. Как констатируют зарубежные специалисты, наибольшим препятствием в продвижении телекоммуникационных образовательных технологий в обществе является не их отсутствие как таковых, а недостаточная подготовленность учителей, профессорско-преподавательского состава, а если более широко – педагогической науки к решению стратегических задач Российского образования.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Компьютерная грамотность по сути является основой для формирования ещё как минимум двух критериев, которые должны лечь в основу программы информатизации образования – это информационная культура (или художественная грамотность на основе информационных технологий) и информационная безопасность. Эти два критерия имеют в основе своей такие же измерители, как и компьютерная грамотность и в целом могут стать примером гармонизированных стандартов. Но без законодательного оформления главного – стандарта о компьютерной грамотности в программе информатизации на наш взгляд бесполезно принятие региональных программ информатизации образования.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Политическое решение вопроса компьютерной грамотности должно отражать его стратегическую значимость для страны в виде короткого, но ёмкого законодательного акта, например, закона о ликвидации компьютерной неграмотности. Возможно, в чём-то несовершенного, хотя лучше иметь несовершенный, чем не иметь никакого в тот момент (февраль 2003 г.), когда Министр образования уже отчитался Президенту о компьютеризации сельской школы. Во всяком случае, без осознания стратегической важности для страны решения вопроса компьютерной грамотности она обречена сегодня на воспроизводство неграмотности системой образования.</w:t>
      </w:r>
    </w:p>
    <w:p w:rsidR="00F7554B" w:rsidRDefault="00F7554B" w:rsidP="00F7554B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проекте Омской региональной программы информатизации образования впервые в РФ (но, к сожалению, не в мире) представлена реальная и вполне достижимая цель: "Все ученики и работники системы образования к 2005 г. должны стать компьютерно-грамотными". Если нас поддержит Губернатор Омской области, то эту цель можно расширить "Все чиновники Омской области к 2005 г. должны стать компьютерно-грамотными". Если нас поддержит Государственная Дума РФ, то мы готовы вынести на рассмотрение проект Закона РФ о ликвидации компьютерной неграмотности в РФ.</w:t>
      </w:r>
      <w:r w:rsidRPr="004F0F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Наверное, этого уже было бы достаточно для одной региональной программы, однако у нас в проекте есть ещё два аналогичных предложения, но обсуждать их имеет смысл только после решения первого вопроса – "О грамотности".</w:t>
      </w:r>
    </w:p>
    <w:p w:rsidR="00CE355D" w:rsidRDefault="00CE355D" w:rsidP="0005189E">
      <w:pPr>
        <w:ind w:firstLine="708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F0F25"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  <w:t>Контактная информация</w:t>
      </w:r>
      <w:r w:rsidR="0005189E">
        <w:rPr>
          <w:rFonts w:ascii="Microsoft Sans Serif" w:eastAsia="Times New Roman" w:hAnsi="Microsoft Sans Serif" w:cs="Microsoft Sans Serif"/>
          <w:b/>
          <w:bCs/>
          <w:caps/>
          <w:color w:val="3E4BA8"/>
          <w:sz w:val="15"/>
          <w:szCs w:val="15"/>
          <w:lang w:eastAsia="ru-RU"/>
        </w:rPr>
        <w:t xml:space="preserve"> </w:t>
      </w:r>
      <w:r w:rsidRPr="004F0F25">
        <w:rPr>
          <w:rFonts w:ascii="Verdana" w:eastAsia="Times New Roman" w:hAnsi="Verdana"/>
          <w:color w:val="000000"/>
          <w:sz w:val="17"/>
          <w:szCs w:val="17"/>
          <w:lang w:eastAsia="ru-RU"/>
        </w:rPr>
        <w:t>Тел</w:t>
      </w:r>
      <w:r w:rsidRPr="0005189E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.: (3812) 36-15-69, </w:t>
      </w:r>
      <w:r w:rsidRPr="004F0F25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t>e</w:t>
      </w:r>
      <w:r w:rsidRPr="0005189E">
        <w:rPr>
          <w:rFonts w:ascii="Verdana" w:eastAsia="Times New Roman" w:hAnsi="Verdana"/>
          <w:color w:val="000000"/>
          <w:sz w:val="17"/>
          <w:szCs w:val="17"/>
          <w:lang w:eastAsia="ru-RU"/>
        </w:rPr>
        <w:t>-</w:t>
      </w:r>
      <w:r w:rsidRPr="004F0F25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t>mail</w:t>
      </w:r>
      <w:r w:rsidRPr="0005189E">
        <w:rPr>
          <w:rFonts w:ascii="Verdana" w:eastAsia="Times New Roman" w:hAnsi="Verdana"/>
          <w:color w:val="000000"/>
          <w:sz w:val="17"/>
          <w:szCs w:val="17"/>
          <w:lang w:eastAsia="ru-RU"/>
        </w:rPr>
        <w:t xml:space="preserve">: </w:t>
      </w:r>
      <w:r w:rsidRPr="004F0F25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t>pankov</w:t>
      </w:r>
      <w:r w:rsidRPr="00CE355D">
        <w:rPr>
          <w:rFonts w:ascii="Verdana" w:eastAsia="Times New Roman" w:hAnsi="Verdana"/>
          <w:noProof/>
          <w:color w:val="000000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ict.edu.ru/img/ict.runnet.ru/ta.gif" style="width:6.75pt;height:6.75pt;visibility:visible">
            <v:imagedata r:id="rId6" o:title="ta"/>
          </v:shape>
        </w:pict>
      </w:r>
      <w:r w:rsidRPr="004F0F25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t>omskcity</w:t>
      </w:r>
      <w:r w:rsidRPr="0005189E">
        <w:rPr>
          <w:rFonts w:ascii="Verdana" w:eastAsia="Times New Roman" w:hAnsi="Verdana"/>
          <w:color w:val="000000"/>
          <w:sz w:val="17"/>
          <w:szCs w:val="17"/>
          <w:lang w:eastAsia="ru-RU"/>
        </w:rPr>
        <w:t>.</w:t>
      </w:r>
      <w:r w:rsidRPr="004F0F25">
        <w:rPr>
          <w:rFonts w:ascii="Verdana" w:eastAsia="Times New Roman" w:hAnsi="Verdana"/>
          <w:color w:val="000000"/>
          <w:sz w:val="17"/>
          <w:szCs w:val="17"/>
          <w:lang w:val="en-US" w:eastAsia="ru-RU"/>
        </w:rPr>
        <w:t>com</w:t>
      </w:r>
    </w:p>
    <w:p w:rsidR="0005189E" w:rsidRDefault="0005189E" w:rsidP="0005189E">
      <w:pPr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43CC2" w:rsidRPr="003D19A1" w:rsidRDefault="00443CC2" w:rsidP="00443CC2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lastRenderedPageBreak/>
        <w:t>-----------------------------------------------------------------------------------------------------------------------</w:t>
      </w:r>
    </w:p>
    <w:p w:rsidR="00443CC2" w:rsidRPr="003D19A1" w:rsidRDefault="00443CC2" w:rsidP="00443CC2">
      <w:pPr>
        <w:jc w:val="both"/>
        <w:rPr>
          <w:color w:val="1F497D"/>
          <w:u w:val="single"/>
        </w:rPr>
      </w:pPr>
      <w:r w:rsidRPr="003D19A1">
        <w:rPr>
          <w:noProof/>
          <w:color w:val="1F497D"/>
        </w:rPr>
        <w:pict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3D19A1">
          <w:rPr>
            <w:color w:val="1F497D"/>
            <w:u w:val="single"/>
          </w:rPr>
          <w:t>Р</w:t>
        </w:r>
      </w:hyperlink>
      <w:hyperlink r:id="rId9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9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443CC2" w:rsidRPr="003D19A1" w:rsidSect="009C0D3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7B" w:rsidRDefault="00C86C7B" w:rsidP="009C0D3F">
      <w:pPr>
        <w:spacing w:after="0" w:line="240" w:lineRule="auto"/>
      </w:pPr>
      <w:r>
        <w:separator/>
      </w:r>
    </w:p>
  </w:endnote>
  <w:endnote w:type="continuationSeparator" w:id="0">
    <w:p w:rsidR="00C86C7B" w:rsidRDefault="00C86C7B" w:rsidP="009C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7B" w:rsidRDefault="00C86C7B" w:rsidP="009C0D3F">
      <w:pPr>
        <w:spacing w:after="0" w:line="240" w:lineRule="auto"/>
      </w:pPr>
      <w:r>
        <w:separator/>
      </w:r>
    </w:p>
  </w:footnote>
  <w:footnote w:type="continuationSeparator" w:id="0">
    <w:p w:rsidR="00C86C7B" w:rsidRDefault="00C86C7B" w:rsidP="009C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3F" w:rsidRDefault="009C0D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B72">
      <w:rPr>
        <w:noProof/>
      </w:rPr>
      <w:t>4</w:t>
    </w:r>
    <w:r>
      <w:fldChar w:fldCharType="end"/>
    </w:r>
  </w:p>
  <w:p w:rsidR="009C0D3F" w:rsidRDefault="009C0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54B"/>
    <w:rsid w:val="00015B72"/>
    <w:rsid w:val="0005189E"/>
    <w:rsid w:val="00072AEE"/>
    <w:rsid w:val="00135C5C"/>
    <w:rsid w:val="001C70D8"/>
    <w:rsid w:val="00302C9A"/>
    <w:rsid w:val="004056D3"/>
    <w:rsid w:val="00443CC2"/>
    <w:rsid w:val="00770D8F"/>
    <w:rsid w:val="009C0D3F"/>
    <w:rsid w:val="00B7775D"/>
    <w:rsid w:val="00C86C7B"/>
    <w:rsid w:val="00CB2A81"/>
    <w:rsid w:val="00CE355D"/>
    <w:rsid w:val="00DF01FB"/>
    <w:rsid w:val="00F243FA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635746C-9AE3-4AEB-A090-ED073CF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55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5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C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0D3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C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C0D3F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135C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135C5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uiPriority w:val="99"/>
    <w:unhideWhenUsed/>
    <w:rsid w:val="0005189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ortalsg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ПРОГРАММА ИНФОРМАТИЗАЦИИ ОБРАЗОВАНИЯ ОМСКОЙ ОБЛАСТИ</vt:lpstr>
    </vt:vector>
  </TitlesOfParts>
  <Company>Microsoft</Company>
  <LinksUpToDate>false</LinksUpToDate>
  <CharactersWithSpaces>8932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ПРОГРАММА ИНФОРМАТИЗАЦИИ ОБРАЗОВАНИЯ ОМСКОЙ ОБЛАСТИ</dc:title>
  <dc:subject/>
  <dc:creator>portalsga.ru</dc:creator>
  <cp:keywords/>
  <cp:lastModifiedBy>RePack by Diakov</cp:lastModifiedBy>
  <cp:revision>2</cp:revision>
  <dcterms:created xsi:type="dcterms:W3CDTF">2017-04-12T19:10:00Z</dcterms:created>
  <dcterms:modified xsi:type="dcterms:W3CDTF">2017-04-12T19:10:00Z</dcterms:modified>
</cp:coreProperties>
</file>