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00" w:rsidRDefault="004F4F00">
      <w:pPr>
        <w:jc w:val="right"/>
        <w:rPr>
          <w:sz w:val="30"/>
          <w:szCs w:val="30"/>
        </w:rPr>
      </w:pPr>
      <w:bookmarkStart w:id="0" w:name="_Toc143852260"/>
      <w:r>
        <w:rPr>
          <w:sz w:val="30"/>
          <w:szCs w:val="30"/>
        </w:rPr>
        <w:t>На правах рукописи</w:t>
      </w: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Этко Илья Георгиевич</w:t>
      </w: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Default="004F4F00">
      <w:pPr>
        <w:jc w:val="center"/>
        <w:rPr>
          <w:b/>
          <w:sz w:val="28"/>
          <w:szCs w:val="28"/>
        </w:rPr>
      </w:pPr>
    </w:p>
    <w:p w:rsidR="004F4F00" w:rsidRPr="006F5A2E" w:rsidRDefault="004F4F00" w:rsidP="006F5A2E">
      <w:pPr>
        <w:pStyle w:val="a8"/>
        <w:jc w:val="center"/>
        <w:rPr>
          <w:sz w:val="28"/>
          <w:szCs w:val="28"/>
        </w:rPr>
      </w:pPr>
      <w:r w:rsidRPr="006F5A2E">
        <w:rPr>
          <w:sz w:val="28"/>
          <w:szCs w:val="28"/>
        </w:rPr>
        <w:t>ПРОГРАММНАЯ РЕАЛИЗАЦИЯ КОРПОРАТИВНЫХ ЭЛЕКТРОННЫХ УЧЕБНЫХ КУРСОВ В ОБЛАСТИ АВТОМАТИЗИРОВАННЫХ ИНФОРМАЦИОННО-УПРАВЛЯЮЩИХ СИСТЕМ И СОВЕРШЕНСТВОВАНИЕ МЕТОДИКИ РАЗРАБОТКИ ЭТИХ КУРСОВ</w:t>
      </w: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Специальность:</w:t>
      </w:r>
    </w:p>
    <w:p w:rsidR="004F4F00" w:rsidRDefault="004F4F00">
      <w:pPr>
        <w:jc w:val="both"/>
        <w:rPr>
          <w:sz w:val="30"/>
          <w:szCs w:val="30"/>
        </w:rPr>
      </w:pPr>
      <w:r>
        <w:rPr>
          <w:sz w:val="30"/>
          <w:szCs w:val="30"/>
        </w:rPr>
        <w:t>05.13.06  –  автоматизация и управление технологическими процессами</w:t>
      </w:r>
    </w:p>
    <w:p w:rsidR="004F4F00" w:rsidRDefault="004F4F00">
      <w:pPr>
        <w:ind w:left="708" w:firstLine="708"/>
        <w:jc w:val="both"/>
        <w:rPr>
          <w:sz w:val="28"/>
          <w:szCs w:val="28"/>
        </w:rPr>
      </w:pPr>
      <w:r>
        <w:rPr>
          <w:sz w:val="30"/>
          <w:szCs w:val="30"/>
        </w:rPr>
        <w:t>и производствами (в образовании)</w:t>
      </w: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Автореферат</w:t>
      </w:r>
    </w:p>
    <w:p w:rsidR="004F4F00" w:rsidRDefault="004F4F00">
      <w:pPr>
        <w:jc w:val="center"/>
        <w:rPr>
          <w:sz w:val="30"/>
          <w:szCs w:val="30"/>
        </w:rPr>
      </w:pPr>
      <w:r>
        <w:rPr>
          <w:sz w:val="30"/>
          <w:szCs w:val="30"/>
        </w:rPr>
        <w:t>диссертации на соискание ученой степени</w:t>
      </w:r>
    </w:p>
    <w:p w:rsidR="004F4F00" w:rsidRDefault="004F4F00">
      <w:pPr>
        <w:jc w:val="center"/>
        <w:rPr>
          <w:sz w:val="30"/>
          <w:szCs w:val="30"/>
        </w:rPr>
      </w:pPr>
      <w:r>
        <w:rPr>
          <w:sz w:val="30"/>
          <w:szCs w:val="30"/>
        </w:rPr>
        <w:t>кандидата технических наук</w:t>
      </w: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b/>
          <w:sz w:val="36"/>
          <w:szCs w:val="36"/>
        </w:rPr>
      </w:pPr>
    </w:p>
    <w:p w:rsidR="004F4F00" w:rsidRDefault="004F4F0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Москва – 2006</w:t>
      </w:r>
    </w:p>
    <w:p w:rsidR="004F4F00" w:rsidRDefault="004F4F00">
      <w:pPr>
        <w:pStyle w:val="1"/>
        <w:spacing w:after="0"/>
        <w:ind w:firstLine="709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bookmarkStart w:id="1" w:name="_Toc149369691"/>
      <w:bookmarkEnd w:id="0"/>
      <w:bookmarkEnd w:id="1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 xml:space="preserve">Работа выполнена на кафедре информатики и математики </w:t>
      </w:r>
    </w:p>
    <w:p w:rsidR="004F4F00" w:rsidRDefault="004F4F00">
      <w:pPr>
        <w:pStyle w:val="1"/>
        <w:spacing w:before="0" w:after="600"/>
        <w:ind w:firstLine="709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Московского государственного открытого педагогического университета им. М.А. Шолохова.</w:t>
      </w:r>
    </w:p>
    <w:p w:rsidR="004F4F00" w:rsidRDefault="004F4F0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F4F00" w:rsidRDefault="004F4F0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F4F00" w:rsidRDefault="004F4F0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  <w:t>доктор технических наук, профессор,</w:t>
      </w:r>
    </w:p>
    <w:p w:rsidR="004F4F00" w:rsidRDefault="004F4F00">
      <w:pPr>
        <w:pStyle w:val="1"/>
        <w:spacing w:before="0" w:after="0"/>
        <w:ind w:left="2831" w:firstLine="709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лауреат Государственной премии СССР</w:t>
      </w:r>
    </w:p>
    <w:p w:rsidR="004F4F00" w:rsidRDefault="004F4F00">
      <w:pPr>
        <w:pStyle w:val="1"/>
        <w:spacing w:before="0" w:after="0"/>
        <w:ind w:left="2831" w:firstLine="709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ЗОБОВ Борис Иванович</w:t>
      </w:r>
    </w:p>
    <w:p w:rsidR="004F4F00" w:rsidRDefault="004F4F0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F4F00" w:rsidRDefault="004F4F0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F4F00" w:rsidRDefault="004F4F00"/>
    <w:p w:rsidR="004F4F00" w:rsidRDefault="004F4F0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Официальные оппоненты: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  <w:t>доктор технических наук, профессор</w:t>
      </w:r>
    </w:p>
    <w:p w:rsidR="004F4F00" w:rsidRDefault="004F4F00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БУБНОВ Владимир Алексеевич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</w:p>
    <w:p w:rsidR="004F4F00" w:rsidRDefault="004F4F00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F4F00" w:rsidRDefault="004F4F00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кандидат технических наук, доцент</w:t>
      </w:r>
    </w:p>
    <w:p w:rsidR="004F4F00" w:rsidRDefault="004F4F00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СКОРОДУМОВ Станислав Владимирович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</w:p>
    <w:p w:rsidR="004F4F00" w:rsidRDefault="004F4F00"/>
    <w:p w:rsidR="004F4F00" w:rsidRDefault="004F4F00"/>
    <w:p w:rsidR="004F4F00" w:rsidRDefault="004F4F0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Ведущая организация: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  <w:t xml:space="preserve">Московский государственный областной </w:t>
      </w:r>
    </w:p>
    <w:p w:rsidR="004F4F00" w:rsidRDefault="004F4F00">
      <w:pPr>
        <w:pStyle w:val="1"/>
        <w:spacing w:before="0" w:after="0"/>
        <w:ind w:left="2832" w:firstLine="708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университет </w:t>
      </w:r>
    </w:p>
    <w:p w:rsidR="004F4F00" w:rsidRDefault="004F4F00"/>
    <w:p w:rsidR="004F4F00" w:rsidRDefault="004F4F00"/>
    <w:p w:rsidR="004F4F00" w:rsidRDefault="004F4F00"/>
    <w:p w:rsidR="004F4F00" w:rsidRDefault="004F4F00">
      <w:pPr>
        <w:jc w:val="both"/>
      </w:pP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 29 декабря 2006 года в 11 часов на заседании диссертационного совета К 008.004.01 в Институте информатизации образования Российской академии образования по адресу: 119121, Москва, Погодинская ул., д.</w:t>
      </w:r>
      <w:r w:rsidR="009F77C5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8.</w:t>
      </w:r>
    </w:p>
    <w:p w:rsidR="004F4F00" w:rsidRDefault="004F4F00">
      <w:pPr>
        <w:jc w:val="both"/>
        <w:rPr>
          <w:sz w:val="28"/>
          <w:szCs w:val="28"/>
        </w:rPr>
      </w:pPr>
    </w:p>
    <w:p w:rsidR="004F4F00" w:rsidRDefault="004F4F00">
      <w:pPr>
        <w:ind w:firstLine="708"/>
        <w:jc w:val="both"/>
        <w:rPr>
          <w:sz w:val="28"/>
          <w:szCs w:val="28"/>
        </w:rPr>
      </w:pP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диссертацией можно ознакомиться в библиотеке Института информатизации образования Российской академии образования.</w:t>
      </w:r>
    </w:p>
    <w:p w:rsidR="004F4F00" w:rsidRDefault="004F4F00">
      <w:pPr>
        <w:ind w:firstLine="708"/>
        <w:jc w:val="both"/>
        <w:rPr>
          <w:sz w:val="28"/>
          <w:szCs w:val="28"/>
        </w:rPr>
      </w:pPr>
    </w:p>
    <w:p w:rsidR="004F4F00" w:rsidRDefault="004F4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27 ноября 2006 года.</w:t>
      </w:r>
    </w:p>
    <w:p w:rsidR="004F4F00" w:rsidRDefault="004F4F00">
      <w:pPr>
        <w:ind w:firstLine="708"/>
        <w:jc w:val="both"/>
        <w:rPr>
          <w:sz w:val="28"/>
          <w:szCs w:val="28"/>
        </w:rPr>
      </w:pPr>
    </w:p>
    <w:p w:rsidR="004F4F00" w:rsidRDefault="004F4F00">
      <w:pPr>
        <w:ind w:firstLine="708"/>
        <w:jc w:val="both"/>
        <w:rPr>
          <w:sz w:val="28"/>
          <w:szCs w:val="28"/>
        </w:rPr>
      </w:pP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диссертационного совета,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 технических наук,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старший научный сотрудник</w:t>
      </w:r>
    </w:p>
    <w:p w:rsidR="004F4F00" w:rsidRDefault="004F4F0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В.С. ЛЫСОГОРСКИЙ</w:t>
      </w:r>
    </w:p>
    <w:p w:rsidR="004F4F00" w:rsidRDefault="004F4F00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ОБЩАЯ ХАРАКТЕРИСТИКА РАБОТЫ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</w:t>
      </w:r>
      <w:r w:rsidRPr="009F7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диссертации.</w:t>
      </w:r>
      <w:r>
        <w:rPr>
          <w:sz w:val="28"/>
          <w:szCs w:val="28"/>
        </w:rPr>
        <w:t xml:space="preserve"> В «Приоритетных направлениях развитии образовательной системы Российской Федерации», определенных Министерством образования и науки России и одобренных правительством страны в декабре 2004 г., в качестве одного из указанных направлений модернизации образовательной системы страны определено «Развитие современной системы непрерывного профессионального образования».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наиболее заметных и характерных особенностей дополнительного профессионального образования и профессиональной подготовки и переподготовки кадров в последние годы, как за рубежом, так и в нашей стране стало развитие корпоративного электронного обучения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Learning</w:t>
      </w:r>
      <w:r>
        <w:rPr>
          <w:sz w:val="28"/>
          <w:szCs w:val="28"/>
        </w:rPr>
        <w:t>), одной из основных проблемных задач которого является разработка корпоративных электронных учебных курсов.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непосредственно прилегающих к этой области автоматизации и информатизации образования достаточно широкую известность получили работы: Я.А. Ваграменко, И.Е., Б.И. Зобова, М.Б. Игнатьева, Г.А. Красновой, И.О. Морозова, Н.И. Пака, И.В. Роберт, Р.Л. Смелянского, В.И. Солдаткина, А.Н. Тихонова, Т. Нейл, Салли-Энн Мур, М. Сори, У. Хортон, К. Хортон и др.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специфические особенности корпоративного обучения, корпоративных электронных учебных курсов и автоматизированных информационно-управляющих систем требуют проведения специальных научных исследований. 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Проблема исследования</w:t>
      </w:r>
      <w:r>
        <w:rPr>
          <w:sz w:val="28"/>
          <w:szCs w:val="28"/>
        </w:rPr>
        <w:t xml:space="preserve"> определяется двумя основными </w:t>
      </w:r>
      <w:r>
        <w:rPr>
          <w:b/>
          <w:sz w:val="28"/>
          <w:szCs w:val="28"/>
        </w:rPr>
        <w:t>противоречиями</w:t>
      </w:r>
      <w:r>
        <w:rPr>
          <w:sz w:val="28"/>
          <w:szCs w:val="28"/>
        </w:rPr>
        <w:t>:</w:t>
      </w:r>
    </w:p>
    <w:p w:rsidR="004F4F00" w:rsidRDefault="004F4F00">
      <w:pPr>
        <w:numPr>
          <w:ilvl w:val="0"/>
          <w:numId w:val="46"/>
        </w:numPr>
        <w:tabs>
          <w:tab w:val="clear" w:pos="142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необходимостью качественного и эффективного обучения персонала, обеспечивающего использование автоматизированных информационно-управляющих систем, и отсутствием по данным системам современных учебных средств, ориентированных на использование образовательных ИКТ;</w:t>
      </w:r>
    </w:p>
    <w:p w:rsidR="004F4F00" w:rsidRDefault="004F4F00">
      <w:pPr>
        <w:numPr>
          <w:ilvl w:val="0"/>
          <w:numId w:val="46"/>
        </w:numPr>
        <w:tabs>
          <w:tab w:val="clear" w:pos="142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необходимостью повышения эффективности технологического процесса разработки программного обеспечения корпоративных электронных учебных курсов и отсутствием системного подхода к совершенствованию методики разработки этих курсов.</w:t>
      </w:r>
    </w:p>
    <w:p w:rsidR="004F4F00" w:rsidRDefault="004F4F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первого противоречия предлагается обеспечить за счет создания новых корпоративных учебных курсов, оснащенных средствами автоматизации управления образовательным процессом; снятие второго противоречия – за счет повышения уровня автоматизации управления технологическим процессом разработки программного обеспечения этих курсов.</w:t>
      </w:r>
    </w:p>
    <w:p w:rsidR="004F4F00" w:rsidRDefault="004F4F0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исследования</w:t>
      </w:r>
      <w:r>
        <w:rPr>
          <w:sz w:val="28"/>
          <w:szCs w:val="28"/>
        </w:rPr>
        <w:t xml:space="preserve"> обусловлена тем, что систематизация научно-методических и научно-технических основ программной реализации корпоративных электронных учебных курсов в области автоматизированных информационно-управляющих систем и совершенствование технологического процесса выполнения этих работ предоставляют возможность существенного </w:t>
      </w:r>
      <w:r>
        <w:rPr>
          <w:sz w:val="28"/>
          <w:szCs w:val="28"/>
        </w:rPr>
        <w:lastRenderedPageBreak/>
        <w:t>снижения трудоемкости разработки и повышения качества программного обеспечения этих курсов.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процесс разработки корпоративных электронных учебных курсов в области автоматизированных информационно-управляющих систем.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программная реализация и процесс совершенствования методики разработки программного обеспечения корпоративных электронных учебных курсов.</w:t>
      </w:r>
    </w:p>
    <w:p w:rsidR="004F4F00" w:rsidRDefault="004F4F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рациональное построение программного обеспечения корпоративных электронных учебных курсов и повышение эффективности процесса разработки этого обеспечения.</w:t>
      </w:r>
    </w:p>
    <w:p w:rsidR="004F4F00" w:rsidRDefault="004F4F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исследования:</w:t>
      </w:r>
    </w:p>
    <w:p w:rsidR="004F4F00" w:rsidRDefault="004F4F00">
      <w:pPr>
        <w:numPr>
          <w:ilvl w:val="0"/>
          <w:numId w:val="2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педагогических и методических оснований разработки корпоративных электронных учебных курсов;</w:t>
      </w:r>
    </w:p>
    <w:p w:rsidR="004F4F00" w:rsidRDefault="004F4F00">
      <w:pPr>
        <w:numPr>
          <w:ilvl w:val="0"/>
          <w:numId w:val="2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общих требований к программному обеспечению корпоративных электронных учебных курсов в области автоматизированных информационно-управляющих систем;</w:t>
      </w:r>
    </w:p>
    <w:p w:rsidR="004F4F00" w:rsidRDefault="004F4F00">
      <w:pPr>
        <w:numPr>
          <w:ilvl w:val="0"/>
          <w:numId w:val="2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программная реализация трех различных корпоративных электронных учебных курсов в области автоматизированных информационно-управляющих систем, используемых в компаниях «Аэрофлот», «МТС», федеральном агентстве «Роснедвижимость»;</w:t>
      </w:r>
    </w:p>
    <w:p w:rsidR="004F4F00" w:rsidRDefault="004F4F00">
      <w:pPr>
        <w:numPr>
          <w:ilvl w:val="0"/>
          <w:numId w:val="2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опыта создания указанных корпоративных электронных учебных курсов в «Академии АйТи» и подготовка проектных предложений по совершенствованию методики разработки их программного обеспечения;</w:t>
      </w:r>
    </w:p>
    <w:p w:rsidR="004F4F00" w:rsidRDefault="004F4F00">
      <w:pPr>
        <w:numPr>
          <w:ilvl w:val="0"/>
          <w:numId w:val="2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методики прогнозирования эффективности предложенных нововведений в процесс программной реализации корпоративных электронных учебных курсов и проведение этого прогноза;</w:t>
      </w:r>
    </w:p>
    <w:p w:rsidR="004F4F00" w:rsidRDefault="004F4F00">
      <w:pPr>
        <w:numPr>
          <w:ilvl w:val="0"/>
          <w:numId w:val="2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тезауруса в области корпоративного обучения;</w:t>
      </w:r>
    </w:p>
    <w:p w:rsidR="004F4F00" w:rsidRDefault="004F4F00">
      <w:pPr>
        <w:numPr>
          <w:ilvl w:val="0"/>
          <w:numId w:val="2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тенденций развития корпоративного обучения.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Методологической основой</w:t>
      </w:r>
      <w:r>
        <w:rPr>
          <w:sz w:val="28"/>
          <w:szCs w:val="28"/>
        </w:rPr>
        <w:t xml:space="preserve"> выполненных исследований явились научные труды: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в области прикладной математики и программирования: 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С.Б. Березина, С.В. Емельянова, А.П. Ершова, Н.Н. Моисеева, Д.А. Поспелова, Р.Л. Смелянского, Э. Дейкстра,  Дж. Бэкус, Дж. Клир и др.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области систем и средств автоматизации и информатизации образования: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 Бубнова, Я.А. Ваграменко, С.А. Жданова, Б.И. Зобова, В.Д. Кисилева, О.А. Козлова, К.К. Колина, Д.В. Куракина, А.В. Михалева, С.П. Плеханова, И.В. Роберт, А.Я. Савельева, В.П. Тихомирова, А.Н. Тихонова и др.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исследования. </w:t>
      </w:r>
      <w:r>
        <w:rPr>
          <w:sz w:val="28"/>
          <w:szCs w:val="28"/>
        </w:rPr>
        <w:t>В процессе исследования использовались: анализ содержания научно-технических и учебно-методических источников по теме диссертации, системный анализ, метод экспертных оценок, статистический анализ, компьютерный дизайн, экспериментальные исследования (в «Академии АйТи» и на площадках заказчиков).</w:t>
      </w:r>
    </w:p>
    <w:p w:rsidR="004F4F00" w:rsidRDefault="004F4F00">
      <w:pPr>
        <w:ind w:firstLine="709"/>
        <w:jc w:val="both"/>
        <w:rPr>
          <w:sz w:val="28"/>
          <w:szCs w:val="28"/>
        </w:rPr>
      </w:pP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Научная новизна и теоретическая значимость исследования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F4F00" w:rsidRDefault="004F4F00">
      <w:pPr>
        <w:widowControl w:val="0"/>
        <w:numPr>
          <w:ilvl w:val="0"/>
          <w:numId w:val="27"/>
        </w:numPr>
        <w:tabs>
          <w:tab w:val="clear" w:pos="106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классификационная схема корпоративных электронных учебных курсов на основе 5 признаков: отрасль экономики, тематическая направленность, квалификация обучаемых, компьютерная платформа, носитель информации;</w:t>
      </w:r>
    </w:p>
    <w:p w:rsidR="004F4F00" w:rsidRDefault="004F4F00">
      <w:pPr>
        <w:numPr>
          <w:ilvl w:val="0"/>
          <w:numId w:val="27"/>
        </w:numPr>
        <w:tabs>
          <w:tab w:val="clear" w:pos="106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систематизированы педагогические и методические основания для разработки корпоративных электронных учебных курсов с учетом новых аспектов, связанных с информационными и коммуникационными образовательными технологиями;</w:t>
      </w:r>
    </w:p>
    <w:p w:rsidR="004F4F00" w:rsidRDefault="004F4F00">
      <w:pPr>
        <w:numPr>
          <w:ilvl w:val="0"/>
          <w:numId w:val="27"/>
        </w:numPr>
        <w:tabs>
          <w:tab w:val="clear" w:pos="106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новая методика оперативного прогнозирования эффективности нововведений в технологический процесс программной реализации корпоративных электронных учебных курсов (КЭУК), отличающаяся использованием трехкомпонентного алгоритма расчета значений показателей эффективности;</w:t>
      </w:r>
    </w:p>
    <w:p w:rsidR="004F4F00" w:rsidRDefault="004F4F00">
      <w:pPr>
        <w:numPr>
          <w:ilvl w:val="0"/>
          <w:numId w:val="27"/>
        </w:numPr>
        <w:tabs>
          <w:tab w:val="clear" w:pos="106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сформирована информационная база тезауруса в области корпоративного обучения на основе анализа содержания отечественных терминологических словарей и научных изданий, Интернет источников, международных образовательных стандартов и зарубежных публикаций.</w:t>
      </w:r>
    </w:p>
    <w:p w:rsidR="004F4F00" w:rsidRDefault="004F4F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значимость исследования </w:t>
      </w:r>
      <w:r>
        <w:rPr>
          <w:sz w:val="28"/>
          <w:szCs w:val="28"/>
        </w:rPr>
        <w:t>заключается в следующем:</w:t>
      </w:r>
    </w:p>
    <w:p w:rsidR="004F4F00" w:rsidRDefault="004F4F00">
      <w:pPr>
        <w:numPr>
          <w:ilvl w:val="0"/>
          <w:numId w:val="3"/>
        </w:numPr>
        <w:tabs>
          <w:tab w:val="clear" w:pos="1069"/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систематизации общих требований к программному обеспечению КЭУК в области автоматизированных информационно-управляющих систем;</w:t>
      </w:r>
    </w:p>
    <w:p w:rsidR="004F4F00" w:rsidRDefault="004F4F00">
      <w:pPr>
        <w:numPr>
          <w:ilvl w:val="0"/>
          <w:numId w:val="3"/>
        </w:numPr>
        <w:tabs>
          <w:tab w:val="clear" w:pos="1069"/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программной реализации трех КЭУК по функционально различным автоматизированным информационно-управляющим системам: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системе «Sabre» – для обучения и повышения квалификации операторов компании «Аэрофлот»; 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системе «ACP Foris» – для обучения и повышения квалификации операторов Центра обслуживания абонентов сети «МТС»;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системе «Электронный документооборот» – для  обучения и повышения квалификации сотрудников федерального агентства «Роснедвижимость».</w:t>
      </w:r>
    </w:p>
    <w:p w:rsidR="004F4F00" w:rsidRDefault="004F4F00">
      <w:pPr>
        <w:numPr>
          <w:ilvl w:val="0"/>
          <w:numId w:val="3"/>
        </w:numPr>
        <w:tabs>
          <w:tab w:val="clear" w:pos="1069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разработке технических предложений по повышению эффективности  технологического процесса разработки программного обеспечения КЭУК;</w:t>
      </w:r>
    </w:p>
    <w:p w:rsidR="004F4F00" w:rsidRDefault="004F4F00">
      <w:pPr>
        <w:numPr>
          <w:ilvl w:val="0"/>
          <w:numId w:val="3"/>
        </w:numPr>
        <w:tabs>
          <w:tab w:val="clear" w:pos="1069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получении количественных прогнозных оценок эффективности предложенных нововведений в процесс разработки КЭУК;</w:t>
      </w:r>
    </w:p>
    <w:p w:rsidR="004F4F00" w:rsidRDefault="004F4F00">
      <w:pPr>
        <w:numPr>
          <w:ilvl w:val="0"/>
          <w:numId w:val="3"/>
        </w:numPr>
        <w:tabs>
          <w:tab w:val="clear" w:pos="1069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создании и размещении в сети Интернет в режиме свободного доступа тезауруса «Корпоративное обучение» (версия 01).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Этапы исследования: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этап (2004 г.) – поисково-подготовительный. Изучение основных особенностей и состояния корпоративного обучения, определение основной направленности и проблематики научного исследования, участие в разработке КЭУК в «Академии АйТи», подбор литературы по предполагаемому направлению диссертационного исследования.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(2005 г.) – опытно-экспериментальный. Определение основных задач и содержания исследования на основе опыта разработки нескольких КЭУК, разработка классификационной схемы КЭУК, подготовка двух статей  </w:t>
      </w:r>
      <w:r>
        <w:rPr>
          <w:sz w:val="28"/>
          <w:szCs w:val="28"/>
        </w:rPr>
        <w:lastRenderedPageBreak/>
        <w:t>по теме диссертации в журнал «Педагогическая информатика» и 4 статей (опубликованных в начале 2006 г.).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 этап (2006 г.) – обобщающий (основной). Разработка технических предложений по совершенствованию методики разработки программного обеспечения КЭУК и оценка эффективности предложенных нововведений, подготовка публикаций по теме диссертации, апробация ее основных результатов, оформление диссертации и автореферата.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Достоверность и обоснованность результатов исследования</w:t>
      </w:r>
      <w:r>
        <w:rPr>
          <w:sz w:val="28"/>
          <w:szCs w:val="28"/>
        </w:rPr>
        <w:t xml:space="preserve"> обеспечены: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указанной методологической основы исследований;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использованными методами исследований;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экспериментальными работами;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коллегиальной оценкой эффективности предложенных нововведений в методику разработки КЭУК;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обсуждением результатов диссертации на целом ряде научных и научно-методических форумах.</w:t>
      </w:r>
    </w:p>
    <w:p w:rsidR="004F4F00" w:rsidRDefault="004F4F0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Апробация результатов исследования. </w:t>
      </w:r>
      <w:r>
        <w:rPr>
          <w:sz w:val="28"/>
          <w:szCs w:val="28"/>
        </w:rPr>
        <w:t>Основные результаты исследования по теме диссертации обсуждались и представлялись на заседаниях кафедры «Информатика и математика» МГОПУ им. М.А. Шолохова (аспирантом которой являлся автор диссертации), 4-х Международных и 3-х Всероссийских научно-методических конференциях и симпозиумах; были опубликованы в 13 научных работах, в том числе в 4 статьях научно-методического журнала «Педагогическая информатика».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Внедрение результатов исследований и разработок.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диссертационных исследований и выполненные на этой основе разработки внедрены в организациях-заказчиках КЭУК (компании «Аэрофлот», компании «МТС» и федеральном агентстве «Роснедвижимость»), в «Академии АйТи», в 4 ВУЗах (МГОПУ им. М.А. Шолохова, Пензенском госуниверситете, Пензенском и Ростовском госпедуниверситетах).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результатов диссертации подтверждено 5 актами, представленными в приложении 2 диссертации.</w:t>
      </w:r>
    </w:p>
    <w:p w:rsidR="004F4F00" w:rsidRDefault="004F4F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защиту выносятся:</w:t>
      </w:r>
    </w:p>
    <w:p w:rsidR="004F4F00" w:rsidRDefault="004F4F00">
      <w:pPr>
        <w:numPr>
          <w:ilvl w:val="0"/>
          <w:numId w:val="4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программному обеспечению корпоративных электронных учебных курсов в области автоматизированных информационно-управляющих систем;</w:t>
      </w:r>
    </w:p>
    <w:p w:rsidR="004F4F00" w:rsidRDefault="004F4F00">
      <w:pPr>
        <w:numPr>
          <w:ilvl w:val="0"/>
          <w:numId w:val="4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Программная реализация 3-х корпоративных электронных учебных курсов по различным типам автоматизированных информационно-управляющих систем (заказчики: «Аэрофлот», «МТС», «Роснедвижимость»);</w:t>
      </w:r>
    </w:p>
    <w:p w:rsidR="004F4F00" w:rsidRDefault="004F4F00">
      <w:pPr>
        <w:numPr>
          <w:ilvl w:val="0"/>
          <w:numId w:val="4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совершенствованию методики разработки программного обеспечения корпоративных электронных учебных курсов;</w:t>
      </w:r>
    </w:p>
    <w:p w:rsidR="004F4F00" w:rsidRDefault="004F4F00">
      <w:pPr>
        <w:numPr>
          <w:ilvl w:val="0"/>
          <w:numId w:val="4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оперативного прогнозирования эффективности нововведений в технологический процесс разработки программного обеспечения корпоративных электронных учебных курсов и результаты этого прогноза;</w:t>
      </w:r>
    </w:p>
    <w:p w:rsidR="004F4F00" w:rsidRDefault="004F4F00">
      <w:pPr>
        <w:numPr>
          <w:ilvl w:val="0"/>
          <w:numId w:val="4"/>
        </w:numPr>
        <w:tabs>
          <w:tab w:val="clear" w:pos="106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Тезаурус «Корпоративное обучение».</w:t>
      </w:r>
    </w:p>
    <w:p w:rsidR="004F4F00" w:rsidRDefault="004F4F0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диссертации.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состоит из введения, трех глав, заключения, библиографического списка и приложений. Диссертация содержит 214 страниц печатного текста, из них 146 страниц – основной текст, 38 рисунков, 13 таблиц, 2 приложения. Библиографический список содержит 219 наименований (в том числе, Интернет изданий – 6, зарубежных изданий на английском языке – 10).</w:t>
      </w:r>
    </w:p>
    <w:p w:rsidR="004F4F00" w:rsidRDefault="004F4F00">
      <w:pPr>
        <w:ind w:firstLine="709"/>
        <w:jc w:val="both"/>
        <w:rPr>
          <w:sz w:val="28"/>
          <w:szCs w:val="28"/>
        </w:rPr>
      </w:pPr>
    </w:p>
    <w:p w:rsidR="004F4F00" w:rsidRDefault="004F4F00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СОДЕРЖАНИЕ ДИССЕРТАЦИИ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введении</w:t>
      </w:r>
      <w:r>
        <w:rPr>
          <w:sz w:val="28"/>
          <w:szCs w:val="28"/>
        </w:rPr>
        <w:t xml:space="preserve"> обосновывается актуальность темы диссертации, формулируется объект, предмет и цель диссертационного исследования, определяются его основные задачи и методологические основы, выделяются результаты, имеющие научную новизну и практическую значимость, формулируются положения, выносимые на защиту.</w:t>
      </w:r>
    </w:p>
    <w:p w:rsidR="004F4F00" w:rsidRDefault="004F4F0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глава</w:t>
      </w:r>
      <w:r>
        <w:rPr>
          <w:sz w:val="28"/>
          <w:szCs w:val="28"/>
        </w:rPr>
        <w:t xml:space="preserve"> – «Состояние корпоративного обучения и структура диссертации» посвящена анализу состояния исследуемой предметной области, разработке структуры и направленности диссертационного исследования.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главе рассматриваются основные задачи, состояние и масштабы распространения корпоративного обучения в сфере образования, как в ведущих зарубежных странах, так и в нашей стране.</w:t>
      </w:r>
    </w:p>
    <w:p w:rsidR="004F4F00" w:rsidRDefault="004F4F0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классификация наиболее распространенных типов корпоративных электронных учебных курсов (рис. 1), которая может использоваться при систематизации и использовании этих курсов. </w:t>
      </w:r>
    </w:p>
    <w:p w:rsidR="004F4F00" w:rsidRDefault="00120204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631" editas="canvas" style="width:477pt;height:291.65pt;mso-position-horizontal-relative:char;mso-position-vertical-relative:line" coordorigin="1161,1278" coordsize="9540,5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2" type="#_x0000_t75" style="position:absolute;left:1161;top:1278;width:9540;height:5400" o:preferrelative="f">
              <v:fill o:detectmouseclick="t"/>
              <v:path o:extrusionok="t" o:connecttype="none"/>
              <o:lock v:ext="edit" aspectratio="f" text="t"/>
            </v:shape>
            <v:roundrect id="_x0000_s1633" style="position:absolute;left:2691;top:1278;width:6180;height:540" arcsize="10923f" strokeweight="1.5pt">
              <v:textbox style="mso-next-textbox:#_x0000_s1633" inset="0,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Корпоративные электронные учебные курсы</w:t>
                    </w:r>
                  </w:p>
                </w:txbxContent>
              </v:textbox>
            </v:roundrect>
            <v:shape id="_x0000_s1634" style="position:absolute;left:2060;top:2359;width:7561;height:1" coordsize="7561,1" path="m,1l7561,e" filled="f">
              <v:path arrowok="t"/>
            </v:shape>
            <v:shape id="_x0000_s1635" style="position:absolute;left:5807;top:1818;width:2;height:720" coordsize="2,720" path="m2,l,720e" filled="f">
              <v:path arrowok="t"/>
            </v:shape>
            <v:roundrect id="_x0000_s1636" style="position:absolute;left:3048;top:2538;width:1797;height:567" arcsize="10923f" fillcolor="silver" strokeweight="1.5pt">
              <v:textbox style="mso-next-textbox:#_x0000_s1636" inset="0,.5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Тематическая направленность</w:t>
                    </w:r>
                  </w:p>
                </w:txbxContent>
              </v:textbox>
            </v:roundrect>
            <v:roundrect id="_x0000_s1637" style="position:absolute;left:4941;top:2538;width:1797;height:567" arcsize="10923f" fillcolor="silver" strokeweight="1.5pt">
              <v:textbox style="mso-next-textbox:#_x0000_s1637" inset="0,.5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Квалификация обучаемых</w:t>
                    </w:r>
                  </w:p>
                </w:txbxContent>
              </v:textbox>
            </v:roundrect>
            <v:roundrect id="_x0000_s1638" style="position:absolute;left:6830;top:2538;width:1797;height:567" arcsize="10923f" fillcolor="silver" strokeweight="1.5pt">
              <v:textbox style="mso-next-textbox:#_x0000_s1638" inset="0,.5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Компьютерная платформа</w:t>
                    </w:r>
                  </w:p>
                </w:txbxContent>
              </v:textbox>
            </v:roundrect>
            <v:roundrect id="_x0000_s1639" style="position:absolute;left:1161;top:2538;width:1797;height:567" arcsize="10923f" fillcolor="silver" strokeweight="1.5pt">
              <v:textbox style="mso-next-textbox:#_x0000_s1639" inset="0,.5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Отрасль экономики</w:t>
                    </w:r>
                  </w:p>
                </w:txbxContent>
              </v:textbox>
            </v:roundrect>
            <v:roundrect id="_x0000_s1640" style="position:absolute;left:8720;top:2538;width:1797;height:567" arcsize="10923f" fillcolor="silver" strokeweight="1.5pt">
              <v:textbox style="mso-next-textbox:#_x0000_s1640" inset="0,.5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Носитель информации</w:t>
                    </w:r>
                  </w:p>
                </w:txbxContent>
              </v:textbox>
            </v:roundrect>
            <v:shape id="_x0000_s1641" style="position:absolute;left:2060;top:2360;width:1;height:178" coordsize="1,178" path="m1,178l,e" filled="f">
              <v:path arrowok="t"/>
            </v:shape>
            <v:shape id="_x0000_s1642" style="position:absolute;left:3861;top:2360;width:1;height:178" coordsize="1,178" path="m,178l1,e" filled="f">
              <v:path arrowok="t"/>
            </v:shape>
            <v:shape id="_x0000_s1643" style="position:absolute;left:7753;top:2360;width:1;height:178" coordsize="1,178" path="m,178l,e" filled="f">
              <v:path arrowok="t"/>
            </v:shape>
            <v:line id="_x0000_s1644" style="position:absolute;flip:y" from="9621,2358" to="9621,253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45" type="#_x0000_t202" style="position:absolute;left:3542;top:1998;width:5179;height:420" filled="f" stroked="f">
              <v:textbox style="mso-next-textbox:#_x0000_s1645">
                <w:txbxContent>
                  <w:p w:rsidR="004F4F00" w:rsidRDefault="004F4F00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Основные  признаки  классификации</w:t>
                    </w:r>
                  </w:p>
                </w:txbxContent>
              </v:textbox>
            </v:shape>
            <v:rect id="_x0000_s1646" style="position:absolute;left:1416;top:3438;width:1620;height:540" strokeweight="1.5pt">
              <v:textbox style="mso-next-textbox:#_x0000_s1646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Энергетика</w:t>
                    </w:r>
                  </w:p>
                </w:txbxContent>
              </v:textbox>
            </v:rect>
            <v:rect id="_x0000_s1647" style="position:absolute;left:1416;top:4158;width:1620;height:540" strokeweight="1.5pt">
              <v:textbox style="mso-next-textbox:#_x0000_s1647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Транспорт</w:t>
                    </w:r>
                  </w:p>
                  <w:p w:rsidR="004F4F00" w:rsidRDefault="004F4F00">
                    <w:pPr>
                      <w:jc w:val="center"/>
                    </w:pPr>
                  </w:p>
                </w:txbxContent>
              </v:textbox>
            </v:rect>
            <v:shape id="_x0000_s1648" style="position:absolute;left:1272;top:3103;width:2;height:3310" coordsize="2,3310" path="m2,l,3310e" filled="f">
              <v:path arrowok="t"/>
            </v:shape>
            <v:rect id="_x0000_s1649" style="position:absolute;left:1416;top:4878;width:1620;height:540" strokeweight="1.5pt">
              <v:textbox style="mso-next-textbox:#_x0000_s1649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Металлургия</w:t>
                    </w:r>
                  </w:p>
                  <w:p w:rsidR="004F4F00" w:rsidRDefault="004F4F00">
                    <w:pPr>
                      <w:jc w:val="center"/>
                    </w:pPr>
                  </w:p>
                </w:txbxContent>
              </v:textbox>
            </v:rect>
            <v:rect id="_x0000_s1650" style="position:absolute;left:1416;top:6138;width:1620;height:540" strokeweight="1.5pt">
              <v:textbox style="mso-next-textbox:#_x0000_s1650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Торговля</w:t>
                    </w:r>
                  </w:p>
                  <w:p w:rsidR="004F4F00" w:rsidRDefault="004F4F00">
                    <w:pPr>
                      <w:jc w:val="center"/>
                    </w:pPr>
                  </w:p>
                </w:txbxContent>
              </v:textbox>
            </v:rect>
            <v:rect id="_x0000_s1651" style="position:absolute;left:3321;top:3438;width:1620;height:540" strokeweight="1.5pt">
              <v:textbox style="mso-next-textbox:#_x0000_s1651" inset="0,0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Управление оборудованием</w:t>
                    </w: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652" style="position:absolute;left:3321;top:4158;width:1620;height:540" strokeweight="1.5pt">
              <v:textbox style="mso-next-textbox:#_x0000_s1652" inset="1mm,1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Освоение новой техники</w:t>
                    </w: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653" style="position:absolute;left:3177;top:3103;width:2;height:3310;mso-position-horizontal:absolute;mso-position-vertical:absolute" coordsize="2,3310" path="m2,l,3310e" filled="f">
              <v:path arrowok="t"/>
            </v:shape>
            <v:rect id="_x0000_s1654" style="position:absolute;left:3321;top:4878;width:1620;height:540" strokeweight="1.5pt">
              <v:textbox style="mso-next-textbox:#_x0000_s1654" inset="0,0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Программное обеспечение</w:t>
                    </w: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655" style="position:absolute;left:3321;top:6138;width:1620;height:540" strokeweight="1.5pt">
              <v:textbox style="mso-next-textbox:#_x0000_s1655" inset="0,0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Социальное обслуживание</w:t>
                    </w:r>
                  </w:p>
                  <w:p w:rsidR="004F4F00" w:rsidRDefault="004F4F0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4F4F00" w:rsidRDefault="004F4F00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656" style="position:absolute;left:5208;top:3438;width:1620;height:540" strokeweight="1.5pt">
              <v:textbox style="mso-next-textbox:#_x0000_s1656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Оператор</w:t>
                    </w: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657" style="position:absolute;left:5208;top:4158;width:1620;height:540" strokeweight="1.5pt">
              <v:textbox style="mso-next-textbox:#_x0000_s1657" inset="1mm,1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Инженер по эксплуатации</w:t>
                    </w:r>
                  </w:p>
                </w:txbxContent>
              </v:textbox>
            </v:rect>
            <v:shape id="_x0000_s1658" style="position:absolute;left:5067;top:3103;width:2;height:3310;mso-position-horizontal:absolute;mso-position-vertical:absolute" coordsize="2,3310" path="m2,l,3310e" filled="f">
              <v:path arrowok="t"/>
            </v:shape>
            <v:rect id="_x0000_s1659" style="position:absolute;left:5208;top:4878;width:1620;height:540" strokeweight="1.5pt">
              <v:textbox style="mso-next-textbox:#_x0000_s1659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Менеджер</w:t>
                    </w:r>
                  </w:p>
                </w:txbxContent>
              </v:textbox>
            </v:rect>
            <v:rect id="_x0000_s1660" style="position:absolute;left:5208;top:6138;width:1620;height:540" strokeweight="1.5pt">
              <v:textbox style="mso-next-textbox:#_x0000_s1660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Продавец</w:t>
                    </w:r>
                  </w:p>
                  <w:p w:rsidR="004F4F00" w:rsidRDefault="004F4F00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661" style="position:absolute;left:7101;top:3438;width:1620;height:540" strokeweight="1.5pt">
              <v:textbox style="mso-next-textbox:#_x0000_s1661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Windows</w:t>
                    </w: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662" style="position:absolute;left:7101;top:4158;width:1620;height:540" strokeweight="1.5pt">
              <v:textbox style="mso-next-textbox:#_x0000_s1662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UNIX</w:t>
                    </w:r>
                  </w:p>
                </w:txbxContent>
              </v:textbox>
            </v:rect>
            <v:shape id="_x0000_s1663" style="position:absolute;left:6957;top:3103;width:1;height:2048;mso-position-horizontal:absolute;mso-position-vertical:absolute" coordsize="1,2048" path="m1,l,2048e" filled="f">
              <v:path arrowok="t"/>
            </v:shape>
            <v:rect id="_x0000_s1664" style="position:absolute;left:7101;top:4878;width:1620;height:540" strokeweight="1.5pt">
              <v:textbox style="mso-next-textbox:#_x0000_s1664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Mac OS</w:t>
                    </w: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665" style="position:absolute;left:8995;top:3438;width:1620;height:540" strokeweight="1.5pt">
              <v:textbox style="mso-next-textbox:#_x0000_s1665" inset="0,1.5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CD-ROM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/</w:t>
                    </w: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DVD</w:t>
                    </w:r>
                  </w:p>
                </w:txbxContent>
              </v:textbox>
            </v:rect>
            <v:rect id="_x0000_s1666" style="position:absolute;left:8995;top:4158;width:1620;height:540" strokeweight="1.5pt">
              <v:textbox style="mso-next-textbox:#_x0000_s1666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Интернет</w:t>
                    </w:r>
                  </w:p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_x0000_s1667" style="position:absolute;left:8843;top:3103;width:1;height:2052;mso-position-horizontal:absolute;mso-position-vertical:absolute" coordsize="1,2052" path="m1,l,2052e" filled="f">
              <v:path arrowok="t"/>
            </v:shape>
            <v:rect id="_x0000_s1668" style="position:absolute;left:8995;top:4878;width:1620;height:540" strokeweight="1.5pt">
              <v:textbox style="mso-next-textbox:#_x0000_s1668" inset="0,3mm,0,0">
                <w:txbxContent>
                  <w:p w:rsidR="004F4F00" w:rsidRDefault="004F4F0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Интранет</w:t>
                    </w:r>
                  </w:p>
                </w:txbxContent>
              </v:textbox>
            </v:rect>
            <v:shape id="_x0000_s1669" style="position:absolute;left:1273;top:3718;width:138;height:1" coordsize="138,1" path="m,l138,e" filled="f">
              <v:path arrowok="t"/>
            </v:shape>
            <v:shape id="_x0000_s1670" style="position:absolute;left:1273;top:4438;width:138;height:1;mso-position-horizontal:absolute;mso-position-vertical:absolute" coordsize="138,1" path="m,l138,e" filled="f">
              <v:path arrowok="t"/>
            </v:shape>
            <v:shape id="_x0000_s1671" style="position:absolute;left:1273;top:5153;width:144;height:1;mso-position-horizontal:absolute;mso-position-vertical:absolute" coordsize="144,1" path="m,l144,e" filled="f">
              <v:path arrowok="t"/>
            </v:shape>
            <v:shape id="_x0000_s1672" style="position:absolute;left:1273;top:6414;width:138;height:1;mso-position-horizontal:absolute;mso-position-vertical:absolute" coordsize="138,1" path="m,l138,e" filled="f">
              <v:path arrowok="t"/>
            </v:shape>
            <v:shape id="_x0000_s1673" style="position:absolute;left:3179;top:3715;width:138;height:1;mso-position-horizontal:absolute;mso-position-vertical:absolute" coordsize="138,1" path="m,l138,e" filled="f">
              <v:path arrowok="t"/>
            </v:shape>
            <v:shape id="_x0000_s1674" style="position:absolute;left:3179;top:4435;width:138;height:1;mso-position-horizontal:absolute;mso-position-vertical:absolute" coordsize="138,1" path="m,l138,e" filled="f">
              <v:path arrowok="t"/>
            </v:shape>
            <v:shape id="_x0000_s1675" style="position:absolute;left:3179;top:5155;width:144;height:1;mso-position-horizontal:absolute;mso-position-vertical:absolute" coordsize="144,1" path="m,l144,e" filled="f">
              <v:path arrowok="t"/>
            </v:shape>
            <v:shape id="_x0000_s1676" style="position:absolute;left:3179;top:6414;width:138;height:1;mso-position-horizontal:absolute;mso-position-vertical:absolute" coordsize="138,1" path="m,l138,e" filled="f">
              <v:path arrowok="t"/>
            </v:shape>
            <v:shape id="_x0000_s1677" style="position:absolute;left:5072;top:3715;width:138;height:1;mso-position-horizontal:absolute;mso-position-vertical:absolute" coordsize="138,1" path="m,l138,e" filled="f">
              <v:path arrowok="t"/>
            </v:shape>
            <v:shape id="_x0000_s1678" style="position:absolute;left:5072;top:4435;width:138;height:1;mso-position-horizontal:absolute;mso-position-vertical:absolute" coordsize="138,1" path="m,l138,e" filled="f">
              <v:path arrowok="t"/>
            </v:shape>
            <v:shape id="_x0000_s1679" style="position:absolute;left:5072;top:5155;width:144;height:1;mso-position-horizontal:absolute;mso-position-vertical:absolute" coordsize="144,1" path="m,l144,e" filled="f">
              <v:path arrowok="t"/>
            </v:shape>
            <v:shape id="_x0000_s1680" style="position:absolute;left:5072;top:6414;width:138;height:1;mso-position-horizontal:absolute;mso-position-vertical:absolute" coordsize="138,1" path="m,l138,e" filled="f">
              <v:path arrowok="t"/>
            </v:shape>
            <v:shape id="_x0000_s1681" style="position:absolute;left:6966;top:3715;width:138;height:1;mso-position-horizontal:absolute;mso-position-vertical:absolute" coordsize="138,1" path="m,l138,e" filled="f">
              <v:path arrowok="t"/>
            </v:shape>
            <v:shape id="_x0000_s1682" style="position:absolute;left:6966;top:4435;width:138;height:1;mso-position-horizontal:absolute;mso-position-vertical:absolute" coordsize="138,1" path="m,l138,e" filled="f">
              <v:path arrowok="t"/>
            </v:shape>
            <v:shape id="_x0000_s1683" style="position:absolute;left:6966;top:5155;width:144;height:1;mso-position-horizontal:absolute;mso-position-vertical:absolute" coordsize="144,1" path="m,l144,e" filled="f">
              <v:path arrowok="t"/>
            </v:shape>
            <v:shape id="_x0000_s1684" style="position:absolute;left:8848;top:3715;width:138;height:1;mso-position-horizontal:absolute;mso-position-vertical:absolute" coordsize="138,1" path="m,l138,e" filled="f">
              <v:path arrowok="t"/>
            </v:shape>
            <v:shape id="_x0000_s1685" style="position:absolute;left:8845;top:4435;width:150;height:1;mso-position-horizontal:absolute;mso-position-vertical:absolute" coordsize="150,1" path="m150,l,e" filled="f">
              <v:path arrowok="t"/>
            </v:shape>
            <v:shape id="_x0000_s1686" style="position:absolute;left:8843;top:5155;width:155;height:1;mso-position-horizontal:absolute;mso-position-vertical:absolute" coordsize="155,1" path="m155,l,e" filled="f">
              <v:path arrowok="t"/>
            </v:shape>
            <v:group id="_x0000_s1687" style="position:absolute;left:2209;top:5598;width:34;height:394" coordorigin="2209,5598" coordsize="34,394">
              <v:oval id="_x0000_s1688" style="position:absolute;left:2209;top:5598;width:34;height:34" fillcolor="black"/>
              <v:oval id="_x0000_s1689" style="position:absolute;left:2209;top:5778;width:34;height:34" fillcolor="black"/>
              <v:oval id="_x0000_s1690" style="position:absolute;left:2209;top:5958;width:34;height:34" fillcolor="black"/>
            </v:group>
            <v:group id="_x0000_s1691" style="position:absolute;left:4109;top:5598;width:34;height:394" coordorigin="2209,5598" coordsize="34,394">
              <v:oval id="_x0000_s1692" style="position:absolute;left:2209;top:5598;width:34;height:34" fillcolor="black"/>
              <v:oval id="_x0000_s1693" style="position:absolute;left:2209;top:5778;width:34;height:34" fillcolor="black"/>
              <v:oval id="_x0000_s1694" style="position:absolute;left:2209;top:5958;width:34;height:34" fillcolor="black"/>
            </v:group>
            <v:group id="_x0000_s1695" style="position:absolute;left:6021;top:5598;width:34;height:394" coordorigin="2209,5598" coordsize="34,394">
              <v:oval id="_x0000_s1696" style="position:absolute;left:2209;top:5598;width:34;height:34" fillcolor="black"/>
              <v:oval id="_x0000_s1697" style="position:absolute;left:2209;top:5778;width:34;height:34" fillcolor="black"/>
              <v:oval id="_x0000_s1698" style="position:absolute;left:2209;top:5958;width:34;height:34" fillcolor="black"/>
            </v:group>
            <w10:anchorlock/>
          </v:group>
        </w:pict>
      </w:r>
    </w:p>
    <w:p w:rsidR="004F4F00" w:rsidRDefault="004F4F0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Рис. 1. Классификационная схема КЭУК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Разработана общая структура диссертации, на которой представлены основные задачи исследования, состав ее основных разделов и взаимосвязи между ними.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Вторая глава</w:t>
      </w:r>
      <w:r>
        <w:rPr>
          <w:sz w:val="28"/>
          <w:szCs w:val="28"/>
        </w:rPr>
        <w:t xml:space="preserve"> – «Программная реализация корпоративных электронных учебных курсов» отражает содержание и результаты диссертационной работы по одному из двух ее основных тематических направлений.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главе систематизированы педагогические и методические основания  для проектирования и разработки КЭУК, включая современные ее аспекты, связанные с использованием информационных и коммуникационных технологий в сфере образования, в том числе принципы: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интеграции педагогических и информационных технологий;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ориентации на жизнедеятельность в условиях неопределенности;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проектного подхода к развитию педагогических систем;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качеством образовательного процесса;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авторских прав.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и обобщение основных общих требований к программному обеспечению КЭУК по автоматизированным информационно-управляющим системам, на основе которых были разработаны 3 электронных учебных курса для компаний «Аэрофлот», «МТС» и федерального агентства «Роснедвижимость». Эти требования сводятся к следующему.</w:t>
      </w:r>
    </w:p>
    <w:p w:rsidR="004F4F00" w:rsidRDefault="004F4F00">
      <w:pPr>
        <w:numPr>
          <w:ilvl w:val="0"/>
          <w:numId w:val="43"/>
        </w:numPr>
        <w:tabs>
          <w:tab w:val="clear" w:pos="828"/>
          <w:tab w:val="left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Прикладное программное обеспечение КЭУК целесообразно создавать в виде относительно автономных блоков (модулей), в том числе: управления сценарием обучения, теоретических знаний, практических навыков, тестирования, итоговой оценки уровня обученности.</w:t>
      </w:r>
    </w:p>
    <w:p w:rsidR="004F4F00" w:rsidRDefault="004F4F00">
      <w:pPr>
        <w:numPr>
          <w:ilvl w:val="0"/>
          <w:numId w:val="43"/>
        </w:numPr>
        <w:tabs>
          <w:tab w:val="clear" w:pos="828"/>
          <w:tab w:val="left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Хранение знаний и другой информации учебного назначения целесообразно обеспечивать в виде отдельных модулей (учебных объектов) внутри соответствующих блоков КЭУК.</w:t>
      </w:r>
    </w:p>
    <w:p w:rsidR="004F4F00" w:rsidRDefault="004F4F00">
      <w:pPr>
        <w:numPr>
          <w:ilvl w:val="0"/>
          <w:numId w:val="43"/>
        </w:numPr>
        <w:tabs>
          <w:tab w:val="clear" w:pos="828"/>
          <w:tab w:val="left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В блоках тестирования и оценки уровня обученности должны использоваться апробированные методы и подходы, обеспечивающие необходимую достоверность итоговых оценок уровня обученности.</w:t>
      </w:r>
    </w:p>
    <w:p w:rsidR="004F4F00" w:rsidRDefault="004F4F00">
      <w:pPr>
        <w:numPr>
          <w:ilvl w:val="0"/>
          <w:numId w:val="43"/>
        </w:numPr>
        <w:tabs>
          <w:tab w:val="clear" w:pos="828"/>
          <w:tab w:val="left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КЭУК целесообразно обеспечивать с применением следующих программных средств: </w:t>
      </w:r>
      <w:r>
        <w:rPr>
          <w:sz w:val="28"/>
          <w:szCs w:val="28"/>
          <w:lang w:val="en-US"/>
        </w:rPr>
        <w:t>ActionScript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>.</w:t>
      </w:r>
    </w:p>
    <w:p w:rsidR="004F4F00" w:rsidRDefault="004F4F00">
      <w:pPr>
        <w:numPr>
          <w:ilvl w:val="0"/>
          <w:numId w:val="43"/>
        </w:numPr>
        <w:tabs>
          <w:tab w:val="clear" w:pos="828"/>
          <w:tab w:val="left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Уровень агрегации программных модулей КЭУК должен определяться предполагаемым их использованием в других учебных курсах.</w:t>
      </w:r>
    </w:p>
    <w:p w:rsidR="004F4F00" w:rsidRDefault="004F4F00">
      <w:pPr>
        <w:numPr>
          <w:ilvl w:val="0"/>
          <w:numId w:val="43"/>
        </w:numPr>
        <w:tabs>
          <w:tab w:val="clear" w:pos="828"/>
          <w:tab w:val="left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программного обеспечения КЭУК должны использоваться эффективные системы автоматизации разработки контента этих курсов.</w:t>
      </w:r>
    </w:p>
    <w:p w:rsidR="004F4F00" w:rsidRDefault="004F4F00">
      <w:pPr>
        <w:numPr>
          <w:ilvl w:val="0"/>
          <w:numId w:val="43"/>
        </w:numPr>
        <w:tabs>
          <w:tab w:val="clear" w:pos="828"/>
          <w:tab w:val="left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КЭУК должен сопровождаться современным информационным шаблоном.</w:t>
      </w:r>
    </w:p>
    <w:p w:rsidR="004F4F00" w:rsidRDefault="004F4F00">
      <w:pPr>
        <w:numPr>
          <w:ilvl w:val="0"/>
          <w:numId w:val="43"/>
        </w:numPr>
        <w:tabs>
          <w:tab w:val="clear" w:pos="828"/>
          <w:tab w:val="left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и пользовательская документация на КЭУК должна соответствовать уровню квалификации обслуживающего персонала и обучаемых сотрудников корпорации, учитывать корпоративную технологию обучения кадров.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объем текстового и иллюстративного материалов главы посвящен программной реализации и содержанию КЭУК по следующим информационно-управляющим системам: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системе «</w:t>
      </w:r>
      <w:r>
        <w:rPr>
          <w:sz w:val="28"/>
          <w:szCs w:val="28"/>
          <w:lang w:val="en-US"/>
        </w:rPr>
        <w:t>Sabre</w:t>
      </w:r>
      <w:r>
        <w:rPr>
          <w:sz w:val="28"/>
          <w:szCs w:val="28"/>
        </w:rPr>
        <w:t>» (для компании «Аэрофлот»);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системе «</w:t>
      </w:r>
      <w:r>
        <w:rPr>
          <w:sz w:val="28"/>
          <w:szCs w:val="28"/>
          <w:lang w:val="en-US"/>
        </w:rPr>
        <w:t>ACP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Foris</w:t>
      </w:r>
      <w:r>
        <w:rPr>
          <w:sz w:val="28"/>
          <w:szCs w:val="28"/>
        </w:rPr>
        <w:t>» (для компании «МТС»);</w:t>
      </w:r>
    </w:p>
    <w:p w:rsidR="004F4F00" w:rsidRDefault="004F4F00">
      <w:pPr>
        <w:numPr>
          <w:ilvl w:val="0"/>
          <w:numId w:val="1"/>
        </w:numPr>
        <w:tabs>
          <w:tab w:val="clear" w:pos="1287"/>
          <w:tab w:val="num" w:pos="1080"/>
        </w:tabs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системе «Электронный документооборот» (для федерального агентства «Роснедвижимость»).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схемы прикладного программного обеспечения этих КЭУК представлены соответственно на рис. 3, 4, 5.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материалах соответствующих разделах главы приведены примеры экранных изображений блоков теоретических знаний, практических навыков и тестирования для каждого из указанных КЭУК, а также основные характеристики этих курсов, представленные в табл. 1.</w:t>
      </w:r>
    </w:p>
    <w:p w:rsidR="004F4F00" w:rsidRDefault="004F4F00">
      <w:pPr>
        <w:spacing w:line="360" w:lineRule="auto"/>
        <w:jc w:val="both"/>
        <w:rPr>
          <w:sz w:val="28"/>
          <w:szCs w:val="28"/>
        </w:rPr>
      </w:pPr>
    </w:p>
    <w:p w:rsidR="004F4F00" w:rsidRDefault="004F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1. Основные характеристики созданных КЭУК</w:t>
      </w:r>
    </w:p>
    <w:tbl>
      <w:tblPr>
        <w:tblW w:w="9703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340"/>
        <w:gridCol w:w="2340"/>
        <w:gridCol w:w="2160"/>
        <w:gridCol w:w="2260"/>
      </w:tblGrid>
      <w:tr w:rsidR="004F4F00">
        <w:trPr>
          <w:cantSplit/>
          <w:jc w:val="center"/>
        </w:trPr>
        <w:tc>
          <w:tcPr>
            <w:tcW w:w="6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№</w:t>
            </w:r>
            <w:r>
              <w:rPr>
                <w:lang w:val="en-US" w:bidi="he-IL"/>
              </w:rPr>
              <w:t>/</w:t>
            </w:r>
          </w:p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пп</w:t>
            </w:r>
          </w:p>
        </w:tc>
        <w:tc>
          <w:tcPr>
            <w:tcW w:w="2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Характеристика КЭУК</w:t>
            </w:r>
          </w:p>
        </w:tc>
        <w:tc>
          <w:tcPr>
            <w:tcW w:w="6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Наименование КЭУК</w:t>
            </w:r>
          </w:p>
        </w:tc>
      </w:tr>
      <w:tr w:rsidR="004F4F00">
        <w:trPr>
          <w:cantSplit/>
          <w:jc w:val="center"/>
        </w:trPr>
        <w:tc>
          <w:tcPr>
            <w:tcW w:w="60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F00" w:rsidRDefault="004F4F00">
            <w:pPr>
              <w:jc w:val="center"/>
              <w:rPr>
                <w:lang w:bidi="he-IL"/>
              </w:rPr>
            </w:pPr>
          </w:p>
        </w:tc>
        <w:tc>
          <w:tcPr>
            <w:tcW w:w="2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F00" w:rsidRDefault="004F4F00">
            <w:pPr>
              <w:jc w:val="center"/>
              <w:rPr>
                <w:lang w:bidi="he-IL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КЭУК по системе</w:t>
            </w:r>
          </w:p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«</w:t>
            </w:r>
            <w:r>
              <w:rPr>
                <w:lang w:val="en-US" w:bidi="he-IL"/>
              </w:rPr>
              <w:t>Sabre</w:t>
            </w:r>
            <w:r>
              <w:rPr>
                <w:lang w:bidi="he-IL"/>
              </w:rPr>
              <w:t>»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КЭУК по системе</w:t>
            </w:r>
          </w:p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«</w:t>
            </w:r>
            <w:r>
              <w:rPr>
                <w:lang w:val="en-US" w:bidi="he-IL"/>
              </w:rPr>
              <w:t>ACP</w:t>
            </w:r>
            <w:r>
              <w:rPr>
                <w:lang w:bidi="he-IL"/>
              </w:rPr>
              <w:t xml:space="preserve"> </w:t>
            </w:r>
            <w:r>
              <w:rPr>
                <w:lang w:val="en-US" w:bidi="he-IL"/>
              </w:rPr>
              <w:t>Foris</w:t>
            </w:r>
            <w:r>
              <w:rPr>
                <w:lang w:bidi="he-IL"/>
              </w:rPr>
              <w:t>»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КЭУК по системе «Электронный документооборот»</w:t>
            </w:r>
          </w:p>
        </w:tc>
      </w:tr>
      <w:tr w:rsidR="004F4F00">
        <w:trPr>
          <w:jc w:val="center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 xml:space="preserve">Техническая база </w:t>
            </w:r>
          </w:p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(не ниже)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Pentium II, 128Мб ОЗУ, видеокарта с разрешением 1024x768, Windows 2000\NT\ME\XP.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Pentium II, 128Мб ОЗУ, видеокарта с разрешением 1024x768, Windows 2000\NT\ME\XP.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Pentium II, 128Мб ОЗУ, видеокарта с разрешением 1024x768, Windows 2000\NT\ME\XP.</w:t>
            </w:r>
          </w:p>
        </w:tc>
      </w:tr>
      <w:tr w:rsidR="004F4F00">
        <w:trPr>
          <w:jc w:val="center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Требуемое дисковое пространство, Мб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80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val="en-US" w:bidi="he-IL"/>
              </w:rPr>
            </w:pPr>
            <w:r>
              <w:rPr>
                <w:lang w:val="en-US" w:bidi="he-IL"/>
              </w:rPr>
              <w:t>52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96</w:t>
            </w:r>
          </w:p>
        </w:tc>
      </w:tr>
      <w:tr w:rsidR="004F4F00">
        <w:trPr>
          <w:jc w:val="center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3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Внешняя среда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Интранет</w:t>
            </w:r>
            <w:r>
              <w:rPr>
                <w:lang w:val="en-US" w:bidi="he-IL"/>
              </w:rPr>
              <w:t>/</w:t>
            </w:r>
            <w:r>
              <w:rPr>
                <w:lang w:bidi="he-IL"/>
              </w:rPr>
              <w:t>Интернет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Интранет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Интранет</w:t>
            </w:r>
            <w:r>
              <w:rPr>
                <w:lang w:val="en-US" w:bidi="he-IL"/>
              </w:rPr>
              <w:t>/</w:t>
            </w:r>
            <w:r>
              <w:rPr>
                <w:lang w:bidi="he-IL"/>
              </w:rPr>
              <w:t>Интернет</w:t>
            </w:r>
          </w:p>
        </w:tc>
      </w:tr>
      <w:tr w:rsidR="004F4F00">
        <w:trPr>
          <w:jc w:val="center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4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Количество основных блоков обучения и контроля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4 (теоретический; практический; тестирующий; итоговой оценки знаний и навыков)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3 (обучения;; тестирующий; итоговой оценки знаний и навыков)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3 (обучения;; тестирующий; итоговой оценки знаний и навыков)</w:t>
            </w:r>
          </w:p>
        </w:tc>
      </w:tr>
      <w:tr w:rsidR="004F4F00">
        <w:trPr>
          <w:jc w:val="center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5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 xml:space="preserve">Количество тестовых заданий 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 xml:space="preserve">150 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 xml:space="preserve">20 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 xml:space="preserve">140 </w:t>
            </w:r>
          </w:p>
        </w:tc>
      </w:tr>
      <w:tr w:rsidR="004F4F00">
        <w:trPr>
          <w:jc w:val="center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6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Продолжительность обучения по курсу, час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24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16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36</w:t>
            </w:r>
          </w:p>
        </w:tc>
      </w:tr>
      <w:tr w:rsidR="004F4F00">
        <w:trPr>
          <w:jc w:val="center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7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Средства программирования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val="en-US" w:bidi="he-IL"/>
              </w:rPr>
            </w:pPr>
            <w:r>
              <w:rPr>
                <w:lang w:val="en-US" w:bidi="he-IL"/>
              </w:rPr>
              <w:t>ActionScript, JavaScript, HTML, XML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val="en-US" w:bidi="he-IL"/>
              </w:rPr>
              <w:t>ActionScript, JavaScript, HTML, XML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val="en-US" w:bidi="he-IL"/>
              </w:rPr>
              <w:t>ActionScript, JavaScript, HTML, XML</w:t>
            </w:r>
          </w:p>
        </w:tc>
      </w:tr>
      <w:tr w:rsidR="004F4F00">
        <w:trPr>
          <w:jc w:val="center"/>
        </w:trPr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8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Языки текстов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русский, английский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русский</w:t>
            </w:r>
          </w:p>
        </w:tc>
        <w:tc>
          <w:tcPr>
            <w:tcW w:w="2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F00" w:rsidRDefault="004F4F00">
            <w:pPr>
              <w:ind w:left="72"/>
              <w:rPr>
                <w:lang w:bidi="he-IL"/>
              </w:rPr>
            </w:pPr>
            <w:r>
              <w:rPr>
                <w:lang w:bidi="he-IL"/>
              </w:rPr>
              <w:t>русский</w:t>
            </w:r>
          </w:p>
        </w:tc>
      </w:tr>
    </w:tbl>
    <w:p w:rsidR="004F4F00" w:rsidRDefault="004F4F00">
      <w:pPr>
        <w:ind w:firstLine="708"/>
        <w:jc w:val="both"/>
        <w:rPr>
          <w:sz w:val="28"/>
          <w:szCs w:val="28"/>
        </w:rPr>
        <w:sectPr w:rsidR="004F4F0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418" w:header="709" w:footer="794" w:gutter="0"/>
          <w:cols w:space="708"/>
          <w:titlePg/>
          <w:docGrid w:linePitch="360"/>
        </w:sectPr>
      </w:pPr>
    </w:p>
    <w:p w:rsidR="004F4F00" w:rsidRDefault="009F77C5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68.9pt;height:732.3pt">
            <v:imagedata r:id="rId12" o:title="рис_2"/>
          </v:shape>
        </w:pict>
      </w:r>
    </w:p>
    <w:p w:rsidR="004F4F00" w:rsidRDefault="009F77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8.9pt;height:732.3pt">
            <v:imagedata r:id="rId13" o:title="рис_3"/>
          </v:shape>
        </w:pict>
      </w:r>
      <w:r>
        <w:rPr>
          <w:sz w:val="28"/>
          <w:szCs w:val="28"/>
        </w:rPr>
        <w:lastRenderedPageBreak/>
        <w:pict>
          <v:shape id="_x0000_i1028" type="#_x0000_t75" style="width:483.8pt;height:732.3pt">
            <v:imagedata r:id="rId14" o:title="рис_4"/>
          </v:shape>
        </w:pic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Третья глава</w:t>
      </w:r>
      <w:r>
        <w:rPr>
          <w:sz w:val="28"/>
          <w:szCs w:val="28"/>
        </w:rPr>
        <w:t xml:space="preserve"> – «Совершенствование методики разработки корпоративных электронных учебных курсов» посвящена второму основному направлению диссертационных исследований.</w:t>
      </w:r>
    </w:p>
    <w:p w:rsidR="004F4F00" w:rsidRDefault="004F4F00">
      <w:pPr>
        <w:tabs>
          <w:tab w:val="num" w:pos="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главе проведен анализ разработки рассмотренных в главе 2 КЭУК в «Академии АйТи», на основе которого разработаны «Технические предложения по совершенствованию методики разработки корпоративных электронных учебных курсов» (предложения), которые представлены в табл. 2 и приняты для поэтапной реализации в «Академии АйТи».</w:t>
      </w:r>
    </w:p>
    <w:p w:rsidR="004F4F00" w:rsidRDefault="004F4F00">
      <w:pPr>
        <w:jc w:val="both"/>
        <w:rPr>
          <w:sz w:val="28"/>
          <w:szCs w:val="28"/>
        </w:rPr>
      </w:pPr>
    </w:p>
    <w:p w:rsidR="004F4F00" w:rsidRDefault="004F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 Предложения по совершенствованию методики разработки КЭУК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9205"/>
      </w:tblGrid>
      <w:tr w:rsidR="004F4F00">
        <w:trPr>
          <w:trHeight w:val="578"/>
        </w:trPr>
        <w:tc>
          <w:tcPr>
            <w:tcW w:w="437" w:type="dxa"/>
            <w:tcMar>
              <w:left w:w="85" w:type="dxa"/>
              <w:right w:w="85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F4F00" w:rsidRDefault="004F4F00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205" w:type="dxa"/>
            <w:tcMar>
              <w:left w:w="85" w:type="dxa"/>
              <w:right w:w="85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4F4F00" w:rsidRDefault="004F4F00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(нововведения)</w:t>
            </w:r>
          </w:p>
        </w:tc>
      </w:tr>
      <w:tr w:rsidR="004F4F00"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spacing w:before="60" w:after="60"/>
              <w:ind w:left="-108"/>
              <w:jc w:val="center"/>
            </w:pPr>
            <w:r>
              <w:t>1</w:t>
            </w:r>
          </w:p>
        </w:tc>
        <w:tc>
          <w:tcPr>
            <w:tcW w:w="9205" w:type="dxa"/>
            <w:vAlign w:val="center"/>
          </w:tcPr>
          <w:p w:rsidR="004F4F00" w:rsidRDefault="004F4F00">
            <w:pPr>
              <w:tabs>
                <w:tab w:val="num" w:pos="2137"/>
              </w:tabs>
              <w:spacing w:before="60" w:after="60"/>
              <w:ind w:left="-18"/>
              <w:jc w:val="both"/>
            </w:pPr>
            <w:r>
              <w:t>Создание модульной системы формирования вариантов главного экранного интерфейса КЭУК;</w:t>
            </w:r>
          </w:p>
        </w:tc>
      </w:tr>
      <w:tr w:rsidR="004F4F00"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spacing w:before="60" w:after="60"/>
              <w:ind w:left="-108"/>
              <w:jc w:val="center"/>
            </w:pPr>
            <w:r>
              <w:t>2</w:t>
            </w:r>
          </w:p>
        </w:tc>
        <w:tc>
          <w:tcPr>
            <w:tcW w:w="9205" w:type="dxa"/>
            <w:vAlign w:val="center"/>
          </w:tcPr>
          <w:p w:rsidR="004F4F00" w:rsidRDefault="004F4F00">
            <w:pPr>
              <w:tabs>
                <w:tab w:val="num" w:pos="2137"/>
              </w:tabs>
              <w:spacing w:before="60" w:after="60"/>
              <w:ind w:left="-18"/>
              <w:jc w:val="both"/>
            </w:pPr>
            <w:r>
              <w:t>Разработка типовых форм представления учебного материала;</w:t>
            </w:r>
          </w:p>
        </w:tc>
      </w:tr>
      <w:tr w:rsidR="004F4F00"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spacing w:before="60" w:after="60"/>
              <w:ind w:left="-108"/>
              <w:jc w:val="center"/>
            </w:pPr>
            <w:r>
              <w:t>3</w:t>
            </w:r>
          </w:p>
        </w:tc>
        <w:tc>
          <w:tcPr>
            <w:tcW w:w="9205" w:type="dxa"/>
            <w:vAlign w:val="center"/>
          </w:tcPr>
          <w:p w:rsidR="004F4F00" w:rsidRDefault="004F4F00">
            <w:pPr>
              <w:tabs>
                <w:tab w:val="num" w:pos="2137"/>
              </w:tabs>
              <w:spacing w:before="60" w:after="60"/>
              <w:ind w:left="-18"/>
              <w:jc w:val="both"/>
            </w:pPr>
            <w:r>
              <w:t>Формирование тезауруса для используемой терминологии в корпоративном обучении;</w:t>
            </w:r>
          </w:p>
        </w:tc>
      </w:tr>
      <w:tr w:rsidR="004F4F00"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spacing w:before="60" w:after="60"/>
              <w:ind w:left="-108"/>
              <w:jc w:val="center"/>
            </w:pPr>
            <w:r>
              <w:t>4</w:t>
            </w:r>
          </w:p>
        </w:tc>
        <w:tc>
          <w:tcPr>
            <w:tcW w:w="9205" w:type="dxa"/>
            <w:vAlign w:val="center"/>
          </w:tcPr>
          <w:p w:rsidR="004F4F00" w:rsidRDefault="004F4F00">
            <w:pPr>
              <w:tabs>
                <w:tab w:val="num" w:pos="2137"/>
              </w:tabs>
              <w:spacing w:before="60" w:after="60"/>
              <w:ind w:left="-18"/>
              <w:jc w:val="both"/>
            </w:pPr>
            <w:r>
              <w:t>Совершенствование системы внутренних организационных документов;</w:t>
            </w:r>
          </w:p>
        </w:tc>
      </w:tr>
      <w:tr w:rsidR="004F4F00"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spacing w:before="60" w:after="60"/>
              <w:ind w:left="-108"/>
              <w:jc w:val="center"/>
            </w:pPr>
            <w:r>
              <w:t>5</w:t>
            </w:r>
          </w:p>
        </w:tc>
        <w:tc>
          <w:tcPr>
            <w:tcW w:w="9205" w:type="dxa"/>
            <w:vAlign w:val="center"/>
          </w:tcPr>
          <w:p w:rsidR="004F4F00" w:rsidRDefault="004F4F00">
            <w:pPr>
              <w:tabs>
                <w:tab w:val="num" w:pos="2137"/>
              </w:tabs>
              <w:spacing w:before="60" w:after="60"/>
              <w:ind w:left="-18"/>
              <w:jc w:val="both"/>
            </w:pPr>
            <w:r>
              <w:t>Создание многоцелевой информационной системы для разработчиков КЭУК;</w:t>
            </w:r>
          </w:p>
        </w:tc>
      </w:tr>
      <w:tr w:rsidR="004F4F00"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spacing w:before="60" w:after="60"/>
              <w:ind w:left="-108"/>
              <w:jc w:val="center"/>
            </w:pPr>
            <w:r>
              <w:t>6</w:t>
            </w:r>
          </w:p>
        </w:tc>
        <w:tc>
          <w:tcPr>
            <w:tcW w:w="9205" w:type="dxa"/>
            <w:vAlign w:val="center"/>
          </w:tcPr>
          <w:p w:rsidR="004F4F00" w:rsidRDefault="004F4F00">
            <w:pPr>
              <w:tabs>
                <w:tab w:val="num" w:pos="2137"/>
              </w:tabs>
              <w:spacing w:before="60" w:after="60"/>
              <w:ind w:left="-18"/>
              <w:jc w:val="both"/>
            </w:pPr>
            <w:r>
              <w:t>Внедрение современной инструментальной системы для разработки программного обеспечения КЭУК;</w:t>
            </w:r>
          </w:p>
        </w:tc>
      </w:tr>
      <w:tr w:rsidR="004F4F00"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spacing w:before="60" w:after="60"/>
              <w:ind w:left="-108"/>
              <w:jc w:val="center"/>
            </w:pPr>
            <w:r>
              <w:t>7</w:t>
            </w:r>
          </w:p>
        </w:tc>
        <w:tc>
          <w:tcPr>
            <w:tcW w:w="9205" w:type="dxa"/>
            <w:vAlign w:val="center"/>
          </w:tcPr>
          <w:p w:rsidR="004F4F00" w:rsidRDefault="004F4F00">
            <w:pPr>
              <w:tabs>
                <w:tab w:val="num" w:pos="2137"/>
              </w:tabs>
              <w:spacing w:before="60" w:after="60"/>
              <w:ind w:left="-18"/>
              <w:jc w:val="both"/>
            </w:pPr>
            <w:r>
              <w:t>Совершенствование технологии внутреннего тестирования КЭУК;</w:t>
            </w:r>
          </w:p>
        </w:tc>
      </w:tr>
      <w:tr w:rsidR="004F4F00"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4F4F00" w:rsidRDefault="004F4F00">
            <w:pPr>
              <w:tabs>
                <w:tab w:val="left" w:pos="1080"/>
              </w:tabs>
              <w:spacing w:before="60" w:after="60"/>
              <w:ind w:left="-108"/>
              <w:jc w:val="center"/>
            </w:pPr>
            <w:r>
              <w:t>8</w:t>
            </w:r>
          </w:p>
        </w:tc>
        <w:tc>
          <w:tcPr>
            <w:tcW w:w="9205" w:type="dxa"/>
            <w:vAlign w:val="center"/>
          </w:tcPr>
          <w:p w:rsidR="004F4F00" w:rsidRDefault="004F4F00">
            <w:pPr>
              <w:tabs>
                <w:tab w:val="num" w:pos="2137"/>
              </w:tabs>
              <w:spacing w:before="60" w:after="60"/>
              <w:ind w:left="-18"/>
              <w:jc w:val="both"/>
            </w:pPr>
            <w:r>
              <w:t>Создание статистической базы данных по ошибкам разработчиков и замечаниям заказчиков КЭУК.</w:t>
            </w:r>
          </w:p>
        </w:tc>
      </w:tr>
    </w:tbl>
    <w:p w:rsidR="004F4F00" w:rsidRDefault="004F4F00">
      <w:pPr>
        <w:ind w:firstLine="708"/>
        <w:jc w:val="both"/>
        <w:rPr>
          <w:sz w:val="28"/>
          <w:szCs w:val="28"/>
        </w:rPr>
      </w:pP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Применяемые в настоящее время модели и методики оценки эффективности нововведений, как правило, основаны на использовании показателя </w:t>
      </w:r>
      <w:r>
        <w:rPr>
          <w:sz w:val="28"/>
          <w:szCs w:val="28"/>
          <w:lang w:val="en-US"/>
        </w:rPr>
        <w:t>ROI</w:t>
      </w:r>
      <w:r>
        <w:rPr>
          <w:sz w:val="28"/>
          <w:szCs w:val="28"/>
        </w:rPr>
        <w:t xml:space="preserve"> (коэффициент возврата на вложенные инвестиции):</w:t>
      </w:r>
    </w:p>
    <w:p w:rsidR="004F4F00" w:rsidRDefault="004F4F00">
      <w:pPr>
        <w:spacing w:before="120" w:after="120"/>
        <w:jc w:val="center"/>
        <w:rPr>
          <w:sz w:val="28"/>
          <w:szCs w:val="28"/>
        </w:rPr>
      </w:pPr>
      <w:r>
        <w:rPr>
          <w:position w:val="-32"/>
          <w:sz w:val="28"/>
          <w:szCs w:val="28"/>
          <w:lang w:val="en-US"/>
        </w:rPr>
        <w:object w:dxaOrig="4540" w:dyaOrig="760">
          <v:shape id="_x0000_i1029" type="#_x0000_t75" style="width:227.4pt;height:37.75pt" o:ole="">
            <v:imagedata r:id="rId15" o:title=""/>
          </v:shape>
          <o:OLEObject Type="Embed" ProgID="Equation.3" ShapeID="_x0000_i1029" DrawAspect="Content" ObjectID="_1553685404" r:id="rId16"/>
        </w:object>
      </w:r>
      <w:r>
        <w:rPr>
          <w:sz w:val="28"/>
          <w:szCs w:val="28"/>
        </w:rPr>
        <w:t>,</w:t>
      </w:r>
    </w:p>
    <w:p w:rsidR="004F4F00" w:rsidRDefault="004F4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обычно является основным показателем. Вместе с тем, как отмечает ряд специалистов, методикам, основанным на вычислении </w:t>
      </w:r>
      <w:r>
        <w:rPr>
          <w:sz w:val="28"/>
          <w:szCs w:val="28"/>
          <w:lang w:val="en-US"/>
        </w:rPr>
        <w:t>ROI</w:t>
      </w:r>
      <w:r>
        <w:rPr>
          <w:sz w:val="28"/>
          <w:szCs w:val="28"/>
        </w:rPr>
        <w:t>, присущи следующие недостатки:</w:t>
      </w:r>
    </w:p>
    <w:p w:rsidR="004F4F00" w:rsidRDefault="004F4F00">
      <w:pPr>
        <w:numPr>
          <w:ilvl w:val="0"/>
          <w:numId w:val="34"/>
        </w:numPr>
        <w:tabs>
          <w:tab w:val="clear" w:pos="720"/>
          <w:tab w:val="num" w:pos="1080"/>
        </w:tabs>
        <w:spacing w:before="120" w:after="120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сложность расчета доходов от использования нововведений;</w:t>
      </w:r>
    </w:p>
    <w:p w:rsidR="004F4F00" w:rsidRDefault="004F4F00">
      <w:pPr>
        <w:numPr>
          <w:ilvl w:val="0"/>
          <w:numId w:val="34"/>
        </w:numPr>
        <w:tabs>
          <w:tab w:val="clear" w:pos="720"/>
          <w:tab w:val="num" w:pos="1080"/>
        </w:tabs>
        <w:spacing w:before="120" w:after="120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низкая достоверность данных по финансовым затратам и доходам;</w:t>
      </w:r>
    </w:p>
    <w:p w:rsidR="004F4F00" w:rsidRDefault="004F4F00">
      <w:pPr>
        <w:numPr>
          <w:ilvl w:val="0"/>
          <w:numId w:val="34"/>
        </w:numPr>
        <w:tabs>
          <w:tab w:val="clear" w:pos="720"/>
          <w:tab w:val="num" w:pos="1080"/>
        </w:tabs>
        <w:spacing w:before="120" w:after="120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интервал между временем затрат на нововведения и временем получения дохода.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автором диссертации была предложена методика оперативного прогнозирования эффективности нововведений, основанная на методе экспертных оценок и трехкомпонентном алгоритме расчета итоговой оценки эффективности, в котором используются: среднеарифметическое </w:t>
      </w:r>
      <w:r>
        <w:rPr>
          <w:sz w:val="28"/>
          <w:szCs w:val="28"/>
        </w:rPr>
        <w:lastRenderedPageBreak/>
        <w:t xml:space="preserve">значение экспертных оценок, среднеарифметическое значение экспертных оценок с исключением крайних оценок, среднеарифметическое значение экспертных оценок с исключением «выбросов» относительно первой компоненты и вычисление среднеарифметического значения указанных компонентов. 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соотношения между указанными компонентами и другими составляющими этого алгоритма:</w:t>
      </w:r>
    </w:p>
    <w:p w:rsidR="004F4F00" w:rsidRDefault="004F4F00">
      <w:pPr>
        <w:ind w:firstLine="708"/>
        <w:jc w:val="both"/>
        <w:rPr>
          <w:sz w:val="28"/>
          <w:szCs w:val="28"/>
        </w:rPr>
      </w:pPr>
    </w:p>
    <w:p w:rsidR="004F4F00" w:rsidRDefault="004F4F00">
      <w:pPr>
        <w:spacing w:before="120"/>
        <w:ind w:firstLine="708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840" w:dyaOrig="620">
          <v:shape id="_x0000_i1030" type="#_x0000_t75" style="width:92.2pt;height:30.75pt" o:ole="">
            <v:imagedata r:id="rId17" o:title=""/>
          </v:shape>
          <o:OLEObject Type="Embed" ProgID="Equation.DSMT4" ShapeID="_x0000_i1030" DrawAspect="Content" ObjectID="_1553685405" r:id="rId18"/>
        </w:objec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300" w:dyaOrig="360">
          <v:shape id="_x0000_i1031" type="#_x0000_t75" style="width:14.95pt;height:18.45pt" o:ole="">
            <v:imagedata r:id="rId19" o:title=""/>
          </v:shape>
          <o:OLEObject Type="Embed" ProgID="Equation.DSMT4" ShapeID="_x0000_i1031" DrawAspect="Content" ObjectID="_1553685406" r:id="rId20"/>
        </w:object>
      </w:r>
      <w:r>
        <w:rPr>
          <w:sz w:val="28"/>
          <w:szCs w:val="28"/>
        </w:rPr>
        <w:t xml:space="preserve"> – итоговая оценка эффективности нововведения;</w: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1100" w:dyaOrig="360">
          <v:shape id="_x0000_i1032" type="#_x0000_t75" style="width:55.3pt;height:18.45pt" o:ole="">
            <v:imagedata r:id="rId21" o:title=""/>
          </v:shape>
          <o:OLEObject Type="Embed" ProgID="Equation.DSMT4" ShapeID="_x0000_i1032" DrawAspect="Content" ObjectID="_1553685407" r:id="rId22"/>
        </w:object>
      </w:r>
      <w:r>
        <w:rPr>
          <w:sz w:val="28"/>
          <w:szCs w:val="28"/>
        </w:rPr>
        <w:t xml:space="preserve"> – компоненты итоговой оценки.</w: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position w:val="-24"/>
          <w:sz w:val="28"/>
          <w:szCs w:val="28"/>
        </w:rPr>
        <w:object w:dxaOrig="1160" w:dyaOrig="960">
          <v:shape id="_x0000_i1033" type="#_x0000_t75" style="width:57.95pt;height:48.3pt" o:ole="">
            <v:imagedata r:id="rId23" o:title=""/>
          </v:shape>
          <o:OLEObject Type="Embed" ProgID="Equation.DSMT4" ShapeID="_x0000_i1033" DrawAspect="Content" ObjectID="_1553685408" r:id="rId24"/>
        </w:objec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260" w:dyaOrig="360">
          <v:shape id="_x0000_i1034" type="#_x0000_t75" style="width:13.15pt;height:18.45pt" o:ole="">
            <v:imagedata r:id="rId25" o:title=""/>
          </v:shape>
          <o:OLEObject Type="Embed" ProgID="Equation.DSMT4" ShapeID="_x0000_i1034" DrawAspect="Content" ObjectID="_1553685409" r:id="rId26"/>
        </w:object>
      </w:r>
      <w:r>
        <w:rPr>
          <w:sz w:val="28"/>
          <w:szCs w:val="28"/>
        </w:rPr>
        <w:t xml:space="preserve"> – оценки экспертов;</w: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6"/>
          <w:sz w:val="28"/>
          <w:szCs w:val="28"/>
        </w:rPr>
        <w:object w:dxaOrig="200" w:dyaOrig="220">
          <v:shape id="_x0000_i1035" type="#_x0000_t75" style="width:9.65pt;height:11.4pt" o:ole="">
            <v:imagedata r:id="rId27" o:title=""/>
          </v:shape>
          <o:OLEObject Type="Embed" ProgID="Equation.DSMT4" ShapeID="_x0000_i1035" DrawAspect="Content" ObjectID="_1553685410" r:id="rId28"/>
        </w:object>
      </w:r>
      <w:r>
        <w:rPr>
          <w:sz w:val="28"/>
          <w:szCs w:val="28"/>
        </w:rPr>
        <w:t xml:space="preserve"> – количество экспертов.</w: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24"/>
          <w:sz w:val="28"/>
          <w:szCs w:val="28"/>
        </w:rPr>
        <w:object w:dxaOrig="2620" w:dyaOrig="960">
          <v:shape id="_x0000_i1036" type="#_x0000_t75" style="width:130.85pt;height:48.3pt" o:ole="">
            <v:imagedata r:id="rId29" o:title=""/>
          </v:shape>
          <o:OLEObject Type="Embed" ProgID="Equation.DSMT4" ShapeID="_x0000_i1036" DrawAspect="Content" ObjectID="_1553685411" r:id="rId30"/>
        </w:objec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440" w:dyaOrig="360">
          <v:shape id="_x0000_i1037" type="#_x0000_t75" style="width:21.95pt;height:18.45pt" o:ole="">
            <v:imagedata r:id="rId31" o:title=""/>
          </v:shape>
          <o:OLEObject Type="Embed" ProgID="Equation.DSMT4" ShapeID="_x0000_i1037" DrawAspect="Content" ObjectID="_1553685412" r:id="rId32"/>
        </w:object>
      </w:r>
      <w:r>
        <w:rPr>
          <w:sz w:val="28"/>
          <w:szCs w:val="28"/>
        </w:rPr>
        <w:t xml:space="preserve"> – минимальная из всех оценок экспертов;</w: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480" w:dyaOrig="360">
          <v:shape id="_x0000_i1038" type="#_x0000_t75" style="width:23.7pt;height:18.45pt" o:ole="">
            <v:imagedata r:id="rId33" o:title=""/>
          </v:shape>
          <o:OLEObject Type="Embed" ProgID="Equation.DSMT4" ShapeID="_x0000_i1038" DrawAspect="Content" ObjectID="_1553685413" r:id="rId34"/>
        </w:object>
      </w:r>
      <w:r>
        <w:rPr>
          <w:sz w:val="28"/>
          <w:szCs w:val="28"/>
        </w:rPr>
        <w:t xml:space="preserve"> – максимальная из всех оценок экспертов.</w: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2280" w:dyaOrig="1020">
          <v:shape id="_x0000_i1039" type="#_x0000_t75" style="width:114.15pt;height:50.95pt" o:ole="">
            <v:imagedata r:id="rId35" o:title=""/>
          </v:shape>
          <o:OLEObject Type="Embed" ProgID="Equation.DSMT4" ShapeID="_x0000_i1039" DrawAspect="Content" ObjectID="_1553685414" r:id="rId36"/>
        </w:objec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  <w:r>
        <w:rPr>
          <w:position w:val="-16"/>
          <w:sz w:val="28"/>
          <w:szCs w:val="28"/>
        </w:rPr>
        <w:object w:dxaOrig="2140" w:dyaOrig="440">
          <v:shape id="_x0000_i1040" type="#_x0000_t75" style="width:107.1pt;height:21.95pt" o:ole="">
            <v:imagedata r:id="rId37" o:title=""/>
          </v:shape>
          <o:OLEObject Type="Embed" ProgID="Equation.DSMT4" ShapeID="_x0000_i1040" DrawAspect="Content" ObjectID="_1553685415" r:id="rId38"/>
        </w:object>
      </w:r>
      <w:r>
        <w:rPr>
          <w:sz w:val="28"/>
          <w:szCs w:val="28"/>
        </w:rPr>
        <w:t xml:space="preserve"> – множество «выбросов» в оценках экспертов;</w:t>
      </w:r>
    </w:p>
    <w:p w:rsidR="004F4F00" w:rsidRDefault="004F4F0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260" w:dyaOrig="360">
          <v:shape id="_x0000_i1041" type="#_x0000_t75" style="width:13.15pt;height:18.45pt" o:ole="">
            <v:imagedata r:id="rId39" o:title=""/>
          </v:shape>
          <o:OLEObject Type="Embed" ProgID="Equation.DSMT4" ShapeID="_x0000_i1041" DrawAspect="Content" ObjectID="_1553685416" r:id="rId40"/>
        </w:object>
      </w:r>
      <w:r>
        <w:rPr>
          <w:sz w:val="28"/>
          <w:szCs w:val="28"/>
        </w:rPr>
        <w:t xml:space="preserve"> – количество «выбросов» в оценках экспертов;</w:t>
      </w:r>
    </w:p>
    <w:p w:rsidR="004F4F00" w:rsidRDefault="004F4F00">
      <w:pPr>
        <w:spacing w:before="120"/>
        <w:ind w:left="708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object w:dxaOrig="220" w:dyaOrig="260">
          <v:shape id="_x0000_i1042" type="#_x0000_t75" style="width:11.4pt;height:13.15pt" o:ole="">
            <v:imagedata r:id="rId41" o:title=""/>
          </v:shape>
          <o:OLEObject Type="Embed" ProgID="Equation.DSMT4" ShapeID="_x0000_i1042" DrawAspect="Content" ObjectID="_1553685417" r:id="rId42"/>
        </w:object>
      </w:r>
      <w:r>
        <w:rPr>
          <w:sz w:val="28"/>
          <w:szCs w:val="28"/>
        </w:rPr>
        <w:t xml:space="preserve"> – установленный диапазон разброса «нормальных» оценок экспертов    </w:t>
      </w:r>
    </w:p>
    <w:p w:rsidR="004F4F00" w:rsidRDefault="004F4F00">
      <w:pPr>
        <w:spacing w:before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(относительно </w:t>
      </w:r>
      <w:r>
        <w:rPr>
          <w:position w:val="-12"/>
          <w:sz w:val="28"/>
          <w:szCs w:val="28"/>
        </w:rPr>
        <w:object w:dxaOrig="279" w:dyaOrig="360">
          <v:shape id="_x0000_i1043" type="#_x0000_t75" style="width:14.05pt;height:18.45pt" o:ole="">
            <v:imagedata r:id="rId43" o:title=""/>
          </v:shape>
          <o:OLEObject Type="Embed" ProgID="Equation.DSMT4" ShapeID="_x0000_i1043" DrawAspect="Content" ObjectID="_1553685418" r:id="rId44"/>
        </w:object>
      </w:r>
      <w:r>
        <w:rPr>
          <w:sz w:val="28"/>
          <w:szCs w:val="28"/>
        </w:rPr>
        <w:t>).</w:t>
      </w:r>
    </w:p>
    <w:p w:rsidR="004F4F00" w:rsidRDefault="004F4F00">
      <w:pPr>
        <w:ind w:firstLine="708"/>
        <w:jc w:val="both"/>
        <w:rPr>
          <w:sz w:val="28"/>
          <w:szCs w:val="28"/>
        </w:rPr>
      </w:pP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Другими особенностями методики являются: использование относительных оценок показателей эффективности нововведений (в %) и привлечение в качестве экспертов наиболее квалифицированных сотрудников группы разработки программного обеспечения КЭУК. 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предложенной методики оперативного прогнозирования эффективности нововведений в процесс разработки программного обеспечения КЭУК выполнен прогноз эффективности указанных выше технических предложений в условиях «Академии АйТи» (рис. 6). </w:t>
      </w:r>
    </w:p>
    <w:p w:rsidR="004F4F00" w:rsidRDefault="00120204">
      <w:pPr>
        <w:spacing w:before="240" w:after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629" type="#_x0000_t75" style="position:absolute;margin-left:0;margin-top:0;width:279.2pt;height:162.2pt;z-index:2;mso-position-horizontal-relative:char;mso-position-vertical-relative:line" o:allowoverlap="f" fillcolor="#bbe0e3">
            <v:imagedata r:id="rId45" o:title=""/>
          </v:shape>
        </w:pict>
      </w:r>
      <w:r>
        <w:rPr>
          <w:sz w:val="28"/>
          <w:szCs w:val="28"/>
        </w:rPr>
        <w:pict>
          <v:shape id="_x0000_i1044" type="#_x0000_t75" style="width:279.2pt;height:162.45pt">
            <v:imagedata croptop="-65520f" cropbottom="65520f"/>
          </v:shape>
        </w:pict>
      </w:r>
    </w:p>
    <w:p w:rsidR="004F4F00" w:rsidRDefault="004F4F0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Рис. 6. Общая схема экспертизы</w:t>
      </w:r>
    </w:p>
    <w:p w:rsidR="004F4F00" w:rsidRDefault="004F4F00">
      <w:pPr>
        <w:ind w:firstLine="708"/>
        <w:jc w:val="both"/>
        <w:rPr>
          <w:sz w:val="28"/>
          <w:szCs w:val="28"/>
        </w:rPr>
      </w:pPr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выполненного прогнозирования представлены на рис. 7 (точность прогноза около 10%).</w:t>
      </w:r>
    </w:p>
    <w:p w:rsidR="004F4F00" w:rsidRDefault="004F4F00">
      <w:pPr>
        <w:ind w:firstLine="708"/>
        <w:jc w:val="both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008"/>
        <w:gridCol w:w="1008"/>
        <w:gridCol w:w="1008"/>
        <w:gridCol w:w="1008"/>
        <w:gridCol w:w="1008"/>
        <w:gridCol w:w="1440"/>
        <w:gridCol w:w="1440"/>
      </w:tblGrid>
      <w:tr w:rsidR="004F4F00">
        <w:trPr>
          <w:cantSplit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Номер нововведения</w:t>
            </w:r>
          </w:p>
        </w:tc>
        <w:tc>
          <w:tcPr>
            <w:tcW w:w="5040" w:type="dxa"/>
            <w:gridSpan w:val="5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Результаты прогнозирования (</w:t>
            </w:r>
            <w:r>
              <w:rPr>
                <w:b/>
                <w:lang w:val="en-US"/>
              </w:rPr>
              <w:t>P</w:t>
            </w:r>
            <w:r>
              <w:rPr>
                <w:b/>
                <w:vertAlign w:val="subscript"/>
                <w:lang w:val="en-US"/>
              </w:rPr>
              <w:t>1</w:t>
            </w:r>
            <w:r>
              <w:rPr>
                <w:b/>
                <w:lang w:val="en-US"/>
              </w:rPr>
              <w:t>;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</w:rPr>
              <w:t>), %</w:t>
            </w:r>
          </w:p>
        </w:tc>
        <w:tc>
          <w:tcPr>
            <w:tcW w:w="2880" w:type="dxa"/>
            <w:gridSpan w:val="2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Итоговые результаты прогнозирования, %</w:t>
            </w:r>
          </w:p>
        </w:tc>
      </w:tr>
      <w:tr w:rsidR="004F4F00">
        <w:trPr>
          <w:cantSplit/>
        </w:trPr>
        <w:tc>
          <w:tcPr>
            <w:tcW w:w="1828" w:type="dxa"/>
            <w:vMerge/>
          </w:tcPr>
          <w:p w:rsidR="004F4F00" w:rsidRDefault="004F4F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Э1</w:t>
            </w:r>
          </w:p>
        </w:tc>
        <w:tc>
          <w:tcPr>
            <w:tcW w:w="1008" w:type="dxa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Э2</w:t>
            </w:r>
          </w:p>
        </w:tc>
        <w:tc>
          <w:tcPr>
            <w:tcW w:w="100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Э3</w:t>
            </w:r>
          </w:p>
        </w:tc>
        <w:tc>
          <w:tcPr>
            <w:tcW w:w="100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Э4</w:t>
            </w:r>
          </w:p>
        </w:tc>
        <w:tc>
          <w:tcPr>
            <w:tcW w:w="100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Э5</w:t>
            </w:r>
          </w:p>
        </w:tc>
        <w:tc>
          <w:tcPr>
            <w:tcW w:w="1440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4F4F00">
        <w:tc>
          <w:tcPr>
            <w:tcW w:w="182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5; </w:t>
            </w:r>
            <w:r>
              <w:rPr>
                <w:lang w:val="en-US"/>
              </w:rPr>
              <w:t xml:space="preserve">     </w:t>
            </w:r>
            <w:r>
              <w:t>2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4;  </w:t>
            </w:r>
            <w:r>
              <w:rPr>
                <w:lang w:val="en-US"/>
              </w:rPr>
              <w:t xml:space="preserve"> </w:t>
            </w:r>
            <w:r>
              <w:t xml:space="preserve">   3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4;  </w:t>
            </w:r>
            <w:r>
              <w:rPr>
                <w:lang w:val="en-US"/>
              </w:rPr>
              <w:t xml:space="preserve">  </w:t>
            </w:r>
            <w:r>
              <w:t xml:space="preserve">  1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5;   </w:t>
            </w:r>
            <w:r>
              <w:rPr>
                <w:lang w:val="en-US"/>
              </w:rPr>
              <w:t xml:space="preserve">   </w:t>
            </w:r>
            <w:r>
              <w:t xml:space="preserve">  4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4;     </w:t>
            </w:r>
            <w:r>
              <w:rPr>
                <w:lang w:val="en-US"/>
              </w:rPr>
              <w:t xml:space="preserve"> </w:t>
            </w:r>
            <w:r>
              <w:t xml:space="preserve">  2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 xml:space="preserve">  4,2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2,4</w:t>
            </w:r>
          </w:p>
        </w:tc>
      </w:tr>
      <w:tr w:rsidR="004F4F00">
        <w:tc>
          <w:tcPr>
            <w:tcW w:w="182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2; </w:t>
            </w:r>
            <w:r>
              <w:rPr>
                <w:lang w:val="en-US"/>
              </w:rPr>
              <w:t xml:space="preserve">     </w:t>
            </w:r>
            <w:r>
              <w:t>2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4;  </w:t>
            </w:r>
            <w:r>
              <w:rPr>
                <w:lang w:val="en-US"/>
              </w:rPr>
              <w:t xml:space="preserve"> </w:t>
            </w:r>
            <w:r>
              <w:t xml:space="preserve">   3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4;   </w:t>
            </w:r>
            <w:r>
              <w:rPr>
                <w:lang w:val="en-US"/>
              </w:rPr>
              <w:t xml:space="preserve"> </w:t>
            </w:r>
            <w:r>
              <w:t xml:space="preserve">  4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5; </w:t>
            </w:r>
            <w:r>
              <w:rPr>
                <w:lang w:val="en-US"/>
              </w:rPr>
              <w:t xml:space="preserve"> 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 xml:space="preserve">  2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3;  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 xml:space="preserve">  3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 xml:space="preserve">  3,6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2,9</w:t>
            </w:r>
          </w:p>
        </w:tc>
      </w:tr>
      <w:tr w:rsidR="004F4F00">
        <w:tc>
          <w:tcPr>
            <w:tcW w:w="182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2;</w:t>
            </w:r>
            <w:r>
              <w:rPr>
                <w:lang w:val="en-US"/>
              </w:rPr>
              <w:t xml:space="preserve">     </w:t>
            </w:r>
            <w:r>
              <w:t xml:space="preserve"> 5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1;      4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1;   </w:t>
            </w:r>
            <w:r>
              <w:rPr>
                <w:lang w:val="en-US"/>
              </w:rPr>
              <w:t xml:space="preserve"> </w:t>
            </w:r>
            <w:r>
              <w:t xml:space="preserve">  5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0; </w:t>
            </w:r>
            <w:r>
              <w:rPr>
                <w:lang w:val="en-US"/>
              </w:rPr>
              <w:t xml:space="preserve">    </w:t>
            </w:r>
            <w:r>
              <w:t xml:space="preserve">   3</w:t>
            </w:r>
          </w:p>
        </w:tc>
        <w:tc>
          <w:tcPr>
            <w:tcW w:w="1008" w:type="dxa"/>
            <w:vAlign w:val="center"/>
          </w:tcPr>
          <w:p w:rsidR="004F4F00" w:rsidRDefault="004F4F00">
            <w:pPr>
              <w:ind w:left="-180"/>
            </w:pPr>
            <w:r>
              <w:t xml:space="preserve"> </w:t>
            </w:r>
            <w:r>
              <w:rPr>
                <w:position w:val="-10"/>
                <w:lang w:val="en-US"/>
              </w:rPr>
              <w:object w:dxaOrig="279" w:dyaOrig="380">
                <v:shape id="_x0000_i1045" type="#_x0000_t75" style="width:14.05pt;height:19.3pt" o:ole="">
                  <v:imagedata r:id="rId46" o:title=""/>
                </v:shape>
                <o:OLEObject Type="Embed" ProgID="Equation.DSMT4" ShapeID="_x0000_i1045" DrawAspect="Content" ObjectID="_1553685419" r:id="rId47"/>
              </w:object>
            </w:r>
            <w:r>
              <w:t xml:space="preserve">;      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 xml:space="preserve">  1,4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3,0</w:t>
            </w:r>
          </w:p>
        </w:tc>
      </w:tr>
      <w:tr w:rsidR="004F4F00">
        <w:tc>
          <w:tcPr>
            <w:tcW w:w="182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4;</w:t>
            </w:r>
            <w:r>
              <w:rPr>
                <w:lang w:val="en-US"/>
              </w:rPr>
              <w:t xml:space="preserve">     </w:t>
            </w:r>
            <w:r>
              <w:t xml:space="preserve"> 2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6;  </w:t>
            </w:r>
            <w:r>
              <w:rPr>
                <w:lang w:val="en-US"/>
              </w:rPr>
              <w:t xml:space="preserve"> </w:t>
            </w:r>
            <w:r>
              <w:t xml:space="preserve">   3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4;  </w:t>
            </w:r>
            <w:r>
              <w:rPr>
                <w:lang w:val="en-US"/>
              </w:rPr>
              <w:t xml:space="preserve">  </w:t>
            </w:r>
            <w:r>
              <w:t xml:space="preserve">  6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5; </w:t>
            </w:r>
            <w:r>
              <w:rPr>
                <w:lang w:val="en-US"/>
              </w:rPr>
              <w:t xml:space="preserve">   </w:t>
            </w:r>
            <w:r>
              <w:t xml:space="preserve">    5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3;  </w:t>
            </w:r>
            <w:r>
              <w:rPr>
                <w:lang w:val="en-US"/>
              </w:rPr>
              <w:t xml:space="preserve"> </w:t>
            </w:r>
            <w:r>
              <w:t xml:space="preserve">    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 xml:space="preserve">  4,4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4,0</w:t>
            </w:r>
          </w:p>
        </w:tc>
      </w:tr>
      <w:tr w:rsidR="004F4F00">
        <w:tc>
          <w:tcPr>
            <w:tcW w:w="182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1; </w:t>
            </w:r>
            <w:r>
              <w:rPr>
                <w:lang w:val="en-US"/>
              </w:rPr>
              <w:t xml:space="preserve">     </w:t>
            </w:r>
            <w:r>
              <w:t>6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2;      1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2;     </w:t>
            </w:r>
            <w:r>
              <w:rPr>
                <w:lang w:val="en-US"/>
              </w:rPr>
              <w:t xml:space="preserve"> </w:t>
            </w:r>
            <w:r>
              <w:t>5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3; </w:t>
            </w:r>
            <w:r>
              <w:rPr>
                <w:lang w:val="en-US"/>
              </w:rPr>
              <w:t xml:space="preserve">   </w:t>
            </w:r>
            <w:r>
              <w:t xml:space="preserve">    2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3;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  <w:r>
              <w:t xml:space="preserve">  2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 xml:space="preserve">  2,1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3,1</w:t>
            </w:r>
          </w:p>
        </w:tc>
      </w:tr>
      <w:tr w:rsidR="004F4F00">
        <w:tc>
          <w:tcPr>
            <w:tcW w:w="182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>20;</w:t>
            </w:r>
            <w:r>
              <w:rPr>
                <w:lang w:val="en-US"/>
              </w:rPr>
              <w:t xml:space="preserve">     </w:t>
            </w:r>
            <w:r>
              <w:t xml:space="preserve"> 8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15;  </w:t>
            </w:r>
            <w:r>
              <w:rPr>
                <w:lang w:val="en-US"/>
              </w:rPr>
              <w:t xml:space="preserve"> </w:t>
            </w:r>
            <w:r>
              <w:t xml:space="preserve">   5</w:t>
            </w:r>
          </w:p>
        </w:tc>
        <w:tc>
          <w:tcPr>
            <w:tcW w:w="1008" w:type="dxa"/>
            <w:vAlign w:val="center"/>
          </w:tcPr>
          <w:p w:rsidR="004F4F00" w:rsidRDefault="004F4F00">
            <w:pPr>
              <w:ind w:right="-144"/>
            </w:pPr>
            <w:r>
              <w:t xml:space="preserve">7;  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position w:val="-10"/>
                <w:lang w:val="en-US"/>
              </w:rPr>
              <w:object w:dxaOrig="380" w:dyaOrig="380">
                <v:shape id="_x0000_i1046" type="#_x0000_t75" style="width:19.3pt;height:19.3pt" o:ole="">
                  <v:imagedata r:id="rId48" o:title=""/>
                </v:shape>
                <o:OLEObject Type="Embed" ProgID="Equation.DSMT4" ShapeID="_x0000_i1046" DrawAspect="Content" ObjectID="_1553685420" r:id="rId49"/>
              </w:objec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8; </w:t>
            </w:r>
            <w:r>
              <w:rPr>
                <w:lang w:val="en-US"/>
              </w:rPr>
              <w:t xml:space="preserve">   </w:t>
            </w:r>
            <w:r>
              <w:t xml:space="preserve">    4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7;  </w:t>
            </w:r>
            <w:r>
              <w:rPr>
                <w:lang w:val="en-US"/>
              </w:rPr>
              <w:t xml:space="preserve">  </w:t>
            </w:r>
            <w:r>
              <w:t xml:space="preserve">    5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11,4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6,9</w:t>
            </w:r>
          </w:p>
        </w:tc>
      </w:tr>
      <w:tr w:rsidR="004F4F00">
        <w:tc>
          <w:tcPr>
            <w:tcW w:w="182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3;</w:t>
            </w:r>
            <w:r>
              <w:rPr>
                <w:lang w:val="en-US"/>
              </w:rPr>
              <w:t xml:space="preserve">     </w:t>
            </w:r>
            <w:r>
              <w:t xml:space="preserve"> 0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4;      2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3;  </w:t>
            </w:r>
            <w:r>
              <w:rPr>
                <w:lang w:val="en-US"/>
              </w:rPr>
              <w:t xml:space="preserve">  </w:t>
            </w:r>
            <w:r>
              <w:t xml:space="preserve">  1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5; </w:t>
            </w:r>
            <w:r>
              <w:rPr>
                <w:lang w:val="en-US"/>
              </w:rPr>
              <w:t xml:space="preserve">  </w:t>
            </w:r>
            <w:r>
              <w:t xml:space="preserve">     1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4;    </w:t>
            </w:r>
            <w:r>
              <w:rPr>
                <w:lang w:val="en-US"/>
              </w:rPr>
              <w:t xml:space="preserve"> </w:t>
            </w:r>
            <w:r>
              <w:t xml:space="preserve">   2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 xml:space="preserve">  3,9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1,5</w:t>
            </w:r>
          </w:p>
        </w:tc>
      </w:tr>
      <w:tr w:rsidR="004F4F00">
        <w:tc>
          <w:tcPr>
            <w:tcW w:w="1828" w:type="dxa"/>
            <w:vAlign w:val="center"/>
          </w:tcPr>
          <w:p w:rsidR="004F4F00" w:rsidRDefault="004F4F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8" w:type="dxa"/>
            <w:vAlign w:val="center"/>
          </w:tcPr>
          <w:p w:rsidR="004F4F00" w:rsidRDefault="004F4F00">
            <w:pPr>
              <w:ind w:right="-180"/>
            </w:pPr>
            <w:r>
              <w:t xml:space="preserve">  3;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  <w:lang w:val="en-US"/>
              </w:rPr>
              <w:object w:dxaOrig="300" w:dyaOrig="380">
                <v:shape id="_x0000_i1047" type="#_x0000_t75" style="width:14.95pt;height:19.3pt" o:ole="">
                  <v:imagedata r:id="rId50" o:title=""/>
                </v:shape>
                <o:OLEObject Type="Embed" ProgID="Equation.DSMT4" ShapeID="_x0000_i1047" DrawAspect="Content" ObjectID="_1553685421" r:id="rId51"/>
              </w:objec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  5;      1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4;  </w:t>
            </w:r>
            <w:r>
              <w:rPr>
                <w:lang w:val="en-US"/>
              </w:rPr>
              <w:t xml:space="preserve">  </w:t>
            </w:r>
            <w:r>
              <w:t xml:space="preserve">  0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3; </w:t>
            </w:r>
            <w:r>
              <w:rPr>
                <w:lang w:val="en-US"/>
              </w:rPr>
              <w:t xml:space="preserve">  </w:t>
            </w:r>
            <w:r>
              <w:t xml:space="preserve">     3</w:t>
            </w:r>
          </w:p>
        </w:tc>
        <w:tc>
          <w:tcPr>
            <w:tcW w:w="1008" w:type="dxa"/>
            <w:vAlign w:val="center"/>
          </w:tcPr>
          <w:p w:rsidR="004F4F00" w:rsidRDefault="004F4F00">
            <w:r>
              <w:t xml:space="preserve">5;    </w:t>
            </w:r>
            <w:r>
              <w:rPr>
                <w:lang w:val="en-US"/>
              </w:rPr>
              <w:t xml:space="preserve">  </w:t>
            </w:r>
            <w:r>
              <w:t xml:space="preserve">  1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 xml:space="preserve">  4,0</w:t>
            </w:r>
          </w:p>
        </w:tc>
        <w:tc>
          <w:tcPr>
            <w:tcW w:w="1440" w:type="dxa"/>
            <w:vAlign w:val="center"/>
          </w:tcPr>
          <w:p w:rsidR="004F4F00" w:rsidRDefault="004F4F00">
            <w:r>
              <w:t>1,9</w:t>
            </w:r>
          </w:p>
        </w:tc>
      </w:tr>
    </w:tbl>
    <w:p w:rsidR="004F4F00" w:rsidRDefault="004F4F0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Обозначение: </w:t>
      </w:r>
      <w:r>
        <w:rPr>
          <w:position w:val="-10"/>
          <w:lang w:val="en-US"/>
        </w:rPr>
        <w:object w:dxaOrig="380" w:dyaOrig="380">
          <v:shape id="_x0000_i1048" type="#_x0000_t75" style="width:19.3pt;height:19.3pt" o:ole="">
            <v:imagedata r:id="rId52" o:title=""/>
          </v:shape>
          <o:OLEObject Type="Embed" ProgID="Equation.DSMT4" ShapeID="_x0000_i1048" DrawAspect="Content" ObjectID="_1553685422" r:id="rId53"/>
        </w:object>
      </w:r>
      <w:r>
        <w:rPr>
          <w:sz w:val="28"/>
          <w:szCs w:val="28"/>
        </w:rPr>
        <w:t>– «выброс».</w:t>
      </w:r>
    </w:p>
    <w:p w:rsidR="004F4F00" w:rsidRDefault="009F77C5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9" type="#_x0000_t75" style="width:481.15pt;height:185.25pt">
            <v:imagedata r:id="rId54" o:title=""/>
          </v:shape>
        </w:pict>
      </w:r>
    </w:p>
    <w:p w:rsidR="004F4F00" w:rsidRDefault="004F4F0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Рис. 7. Результаты прогнозирования эффективности нововведений</w:t>
      </w:r>
    </w:p>
    <w:p w:rsidR="004F4F00" w:rsidRDefault="004F4F00">
      <w:pPr>
        <w:spacing w:before="120"/>
        <w:jc w:val="center"/>
        <w:rPr>
          <w:sz w:val="28"/>
          <w:szCs w:val="28"/>
        </w:rPr>
      </w:pPr>
    </w:p>
    <w:p w:rsidR="004F4F00" w:rsidRDefault="00120204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701" type="#_x0000_t75" style="position:absolute;left:0;text-align:left;margin-left:25.8pt;margin-top:96.95pt;width:429.35pt;height:256.4pt;z-index:4;mso-position-horizontal-relative:text;mso-position-vertical-relative:text" o:bordertopcolor="this" o:borderleftcolor="this" o:borderbottomcolor="this" o:borderrightcolor="this" stroked="t" strokeweight=".5pt">
            <v:imagedata r:id="rId55" o:title="тезаурус1" gain="109227f"/>
            <w10:wrap type="topAndBottom"/>
          </v:shape>
        </w:pict>
      </w:r>
      <w:r w:rsidR="004F4F00">
        <w:rPr>
          <w:sz w:val="28"/>
          <w:szCs w:val="28"/>
        </w:rPr>
        <w:t>Для улучшения качества лингвистического обеспечения процесса создания КЭУК разработан тезаурус «Корпоративное обучение» (версия 01), состоящий из 425 терминов и их определений, представленных в приложении 1 диссертации. Главный экранный интерфейс тезауруса представлен на рис. 8.</w:t>
      </w:r>
    </w:p>
    <w:p w:rsidR="004F4F00" w:rsidRDefault="004F4F00">
      <w:pPr>
        <w:spacing w:before="240" w:after="240"/>
        <w:jc w:val="center"/>
        <w:rPr>
          <w:sz w:val="28"/>
          <w:szCs w:val="28"/>
        </w:rPr>
      </w:pPr>
    </w:p>
    <w:p w:rsidR="004F4F00" w:rsidRDefault="004F4F0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Рис. 8. Главный экранный интерфейс тезауруса «Корпоративное обучение»</w:t>
      </w:r>
    </w:p>
    <w:p w:rsidR="004F4F00" w:rsidRDefault="004F4F00">
      <w:pPr>
        <w:ind w:firstLine="708"/>
        <w:jc w:val="both"/>
        <w:rPr>
          <w:sz w:val="28"/>
          <w:szCs w:val="28"/>
        </w:rPr>
      </w:pPr>
      <w:bookmarkStart w:id="3" w:name="_Toc149369707"/>
      <w:bookmarkStart w:id="4" w:name="_Toc149391236"/>
    </w:p>
    <w:p w:rsidR="004F4F00" w:rsidRDefault="004F4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заключительном разделе третьей главы диссертации проведен анализ основных тенденций развития корпоративного обучения на ближайшие годы, которые необходимо учитывать при организации дальнейших научных исследований и практических разработок в этой образовательной области.</w:t>
      </w:r>
    </w:p>
    <w:bookmarkEnd w:id="3"/>
    <w:bookmarkEnd w:id="4"/>
    <w:p w:rsidR="004F4F00" w:rsidRDefault="004F4F00">
      <w:pPr>
        <w:pStyle w:val="1"/>
        <w:spacing w:before="360" w:after="360"/>
        <w:jc w:val="center"/>
      </w:pPr>
      <w:r>
        <w:rPr>
          <w:rFonts w:ascii="Times New Roman" w:hAnsi="Times New Roman" w:cs="Times New Roman"/>
        </w:rPr>
        <w:t>ОСНОВНЫЕ РЕЗУЛЬТАТЫ ИССЛЕДОВАНИЯ</w:t>
      </w:r>
    </w:p>
    <w:p w:rsidR="004F4F00" w:rsidRDefault="004F4F0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основе выполненных в диссертации исследований и разработок получены следующие основные результаты.</w:t>
      </w:r>
    </w:p>
    <w:p w:rsidR="004F4F00" w:rsidRDefault="004F4F00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Систематизированы педагогические и методические основания для разработки программного обеспечения КЭУК, включающие как классическую методологию и принципы педагогики, так и ее современные аспекты, связанные с применением информационных и коммуникационных технологий в сфере образования.</w:t>
      </w:r>
    </w:p>
    <w:p w:rsidR="004F4F00" w:rsidRDefault="004F4F00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Систематизированы общие требования к программному обеспечению КЭУК в области автоматизированных информационно-управляющих систем, положенные в основу разработки (в Академии АйТи) электронных учебных </w:t>
      </w:r>
      <w:r>
        <w:rPr>
          <w:sz w:val="28"/>
          <w:szCs w:val="28"/>
        </w:rPr>
        <w:lastRenderedPageBreak/>
        <w:t>курсов по различным типам систем, используемым в компаниях «Аэрофлот» и «МТС», федеральном агентстве «Роснедвижимость».</w:t>
      </w:r>
    </w:p>
    <w:p w:rsidR="004F4F00" w:rsidRDefault="004F4F00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программная реализация трех КЭУК по функционально различным информационно-управляющим системам:</w:t>
      </w:r>
    </w:p>
    <w:p w:rsidR="004F4F00" w:rsidRDefault="004F4F00">
      <w:pPr>
        <w:numPr>
          <w:ilvl w:val="0"/>
          <w:numId w:val="33"/>
        </w:numPr>
        <w:tabs>
          <w:tab w:val="clear" w:pos="2137"/>
          <w:tab w:val="num" w:pos="540"/>
        </w:tabs>
        <w:ind w:left="1440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Sabre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для компании «Аэрофлот»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;</w:t>
      </w:r>
    </w:p>
    <w:p w:rsidR="004F4F00" w:rsidRDefault="004F4F00">
      <w:pPr>
        <w:numPr>
          <w:ilvl w:val="0"/>
          <w:numId w:val="33"/>
        </w:numPr>
        <w:tabs>
          <w:tab w:val="clear" w:pos="2137"/>
          <w:tab w:val="num" w:pos="540"/>
        </w:tabs>
        <w:ind w:left="1440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ACP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Foris</w:t>
      </w:r>
      <w:r>
        <w:rPr>
          <w:sz w:val="28"/>
          <w:szCs w:val="28"/>
        </w:rPr>
        <w:t>» (для компании «МТС»);</w:t>
      </w:r>
    </w:p>
    <w:p w:rsidR="004F4F00" w:rsidRDefault="004F4F00">
      <w:pPr>
        <w:numPr>
          <w:ilvl w:val="0"/>
          <w:numId w:val="33"/>
        </w:numPr>
        <w:tabs>
          <w:tab w:val="clear" w:pos="2137"/>
          <w:tab w:val="num" w:pos="540"/>
        </w:tabs>
        <w:ind w:left="1440" w:hanging="357"/>
        <w:jc w:val="both"/>
        <w:rPr>
          <w:sz w:val="28"/>
          <w:szCs w:val="28"/>
        </w:rPr>
      </w:pPr>
      <w:r>
        <w:rPr>
          <w:sz w:val="28"/>
          <w:szCs w:val="28"/>
        </w:rPr>
        <w:t>«Электронный документооборот» (для федерального агентства «Роснедвижимость»).</w:t>
      </w:r>
    </w:p>
    <w:p w:rsidR="004F4F00" w:rsidRDefault="004F4F00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комплекс научно-технических рекомендаций по совершенствованию методики разработки КЭУК в Академии АйТи, относящихся к техническому, программному, информационному, лингвистическому и организационному обеспечению технологического процесса создания программного обеспечения этих учебных курсов.</w:t>
      </w:r>
    </w:p>
    <w:p w:rsidR="004F4F00" w:rsidRDefault="004F4F00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Предложена методика оперативного прогнозирования эффективности указанных выше нововведений в технологический процесс создания программного обеспечения КЭУК, отличающаяся использованием трехкомпонентного алгоритма расчета итоговых оценок экспертизы.</w:t>
      </w:r>
    </w:p>
    <w:p w:rsidR="004F4F00" w:rsidRDefault="004F4F00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предложенной методики проведено прогнозирование эффективности предложенных нововведений по совершенствованию методики разработки программного обеспечения КЭУК, которые подтвердили их достаточно высокую эффективность, ожидаемое повышение: производительности труда по разработке программного обеспечения КЭУК – на 35%, качества этого обеспечения –  на 25%.</w:t>
      </w:r>
    </w:p>
    <w:p w:rsidR="004F4F00" w:rsidRDefault="004F4F00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уровня лингвистического обеспечения процесса создания КЭУК сформирован тезаурус «Корпоративное обучение» (версия 01), включающий 425 терминов и их определений в области педагогики, педагогических технологий, информатики, информационных и коммуникационных образовательных технологий, аппаратных и программных средств вычислительной техники, тезаурус размещен в режиме свободного доступа на сайте «Виртуальный педагогический университет» МГОПУ им. М.А. Шолохова.</w:t>
      </w:r>
    </w:p>
    <w:p w:rsidR="004F4F00" w:rsidRDefault="004F4F00">
      <w:pPr>
        <w:numPr>
          <w:ilvl w:val="0"/>
          <w:numId w:val="3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тенденций развития корпоративного обучения за рубежом и в нашей стране, на основе которого определены основные направления дальнейшего совершенствования и использования корпоративных образовательных средств и технологий.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 диссертационного исследования внедрены в компании «Аэрофлот», компании «МТС», федеральном агентстве «Роснедвижимость», Академии АйТи, МГОПУ им. М.А. Шолохова, Пензенском государственном университете, Пензенском и Ростовском госпедуниверситетах, внедрение результатов диссертации подтверждено 5 актами, представленными в приложении 2 диссертации.</w:t>
      </w:r>
    </w:p>
    <w:p w:rsidR="004F4F00" w:rsidRDefault="004F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результаты диссертации апробированы на 4 международных и 3 всероссийских научно-методических и научно-практических конференциях и симпозиумах, представлены в 13 публикациях, в том числе в 4 статьях научно-методического журнала «Педагогическая информатика», включенного в </w:t>
      </w:r>
      <w:r>
        <w:rPr>
          <w:sz w:val="28"/>
          <w:szCs w:val="28"/>
        </w:rPr>
        <w:lastRenderedPageBreak/>
        <w:t xml:space="preserve">перечень изданий, рекомендованных ВАК для публикации диссертационных исследований. </w:t>
      </w:r>
    </w:p>
    <w:p w:rsidR="004F4F00" w:rsidRDefault="004F4F00">
      <w:pPr>
        <w:pStyle w:val="1"/>
        <w:spacing w:after="360"/>
        <w:jc w:val="center"/>
        <w:rPr>
          <w:rFonts w:ascii="Times New Roman" w:hAnsi="Times New Roman" w:cs="Times New Roman"/>
        </w:rPr>
      </w:pPr>
      <w:bookmarkStart w:id="5" w:name="_Ref144385272"/>
      <w:r>
        <w:rPr>
          <w:rFonts w:ascii="Times New Roman" w:hAnsi="Times New Roman" w:cs="Times New Roman"/>
        </w:rPr>
        <w:t>ПУБЛИКАЦИИ ПО ТЕМЕ ИССЛЕДОВАНИЯ</w:t>
      </w:r>
    </w:p>
    <w:p w:rsidR="004F4F00" w:rsidRDefault="004F4F00">
      <w:pPr>
        <w:jc w:val="both"/>
        <w:rPr>
          <w:b/>
        </w:rPr>
      </w:pPr>
      <w:bookmarkStart w:id="6" w:name="_Ref149426974"/>
      <w:bookmarkStart w:id="7" w:name="_Ref149425585"/>
      <w:r>
        <w:tab/>
      </w:r>
      <w:r>
        <w:rPr>
          <w:b/>
        </w:rPr>
        <w:t>Публикации в ведущих рецензируемых журналах и изданиях, указанных в Перечне ВАК:</w:t>
      </w:r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r>
        <w:t xml:space="preserve">Этко И.Г. Компьютерные тесты по информатике и информационным технологиям в сети Интернет // Педагогическая информатика №1, 2005. – С. 77-83. </w:t>
      </w:r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r>
        <w:t>Этко И.Г.  Разработка электронных курсов для обучения и повышения квалификации сотрудников производственных предприятий и организаций. // Педагогическая информатика, № 3, 2005. – С. 70-74.</w:t>
      </w:r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r>
        <w:t>Зобов Б.И., Этко И.Г. Информатизация профессиональной подготовки: корпоративное обучение, учебные курсы, методика их разработки // Педагогическая информатика №1, 2006. – С. 65-72.</w:t>
      </w:r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r>
        <w:t>Этко И.Г. О программной реализации КЭУК в области автоматизированных информационно-управляющих систем и совершенствовании методики разработки этих курсов // Педагогическая информатика №3, 2006. – С. 69-76.</w:t>
      </w:r>
    </w:p>
    <w:p w:rsidR="004F4F00" w:rsidRDefault="004F4F00">
      <w:pPr>
        <w:spacing w:before="60"/>
        <w:ind w:left="708"/>
        <w:jc w:val="both"/>
        <w:rPr>
          <w:b/>
        </w:rPr>
      </w:pPr>
      <w:r>
        <w:rPr>
          <w:b/>
        </w:rPr>
        <w:t>Статьи:</w:t>
      </w:r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bookmarkStart w:id="8" w:name="_Ref149426441"/>
      <w:r>
        <w:t>Этко И.Г. Педагогические основания проектирования и разработки корпоративных электронных учебных курсов // Вестник МГОПУ им. М.А. Шолохова. Серия «Информатизация образования» №1, 2006. Орехово-Зуевская типография. – С.</w:t>
      </w:r>
      <w:bookmarkEnd w:id="8"/>
      <w:r>
        <w:t xml:space="preserve"> 54-60.</w:t>
      </w:r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bookmarkStart w:id="9" w:name="_Ref148903309"/>
      <w:r>
        <w:t>Этко И.Г.  Корпоративные электронные учебные курсы: основные особенности, разновидности, методика разработки // Труды международной научно-методической конференции «Информатизация образования – 2006». Тула, ТГПУ им. Л.Н. Толстого, 2006. – С. 351-356.</w:t>
      </w:r>
      <w:bookmarkEnd w:id="9"/>
    </w:p>
    <w:bookmarkEnd w:id="6"/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r>
        <w:t>Этко И.Г. Основное содержание работ по совершенствованию методики разработки корпоративных электронных учебных курсов // Сборник научно-исследовательских работ аспирантов и соискателей МГОПУ им. М.А. Шолохова «Молодые голоса». Выпуск 13. – М.: Ротапринт МГОПУ им. М.А. Шолохова, 2006. – С. 166-171.</w:t>
      </w:r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bookmarkStart w:id="10" w:name="_Ref148907849"/>
      <w:r>
        <w:t>Этко И.Г. Методика оперативного прогнозирования эффективности нововведений в процесс разработки электронных учебных курсов. // XX лет школьной и вузовской информатики: проблемы и перспективы: материалы Всероссийской научно-методической Н. Новгород: НГПУ, 2006. – С. 278-282.</w:t>
      </w:r>
      <w:bookmarkEnd w:id="10"/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bookmarkStart w:id="11" w:name="_Ref148903311"/>
      <w:r>
        <w:t>Этко И.Г.  Корпоративное обучение информатике и использованию информационных систем // Современные проблемы преподавания математики и информатики: сб. науч ст. по итогам III Междунар. науч.-метод. конф. – Волгоград: Перемена, 2006. – С. 300-309.</w:t>
      </w:r>
      <w:bookmarkEnd w:id="11"/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r>
        <w:t>Этко И.Г. О корпоративных электронных учебных курсов и совершенствования методики их разработки // Надежность и качество: Труды Международного симпозиума. – Пенза: ПГУ, 2006. – Т1. – С. 148-150.</w:t>
      </w:r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bookmarkStart w:id="12" w:name="_Ref149425937"/>
      <w:r>
        <w:t>Этко И.Г. О тезаурусе «Корпоративное обучение» (версия 01) // Телематика’2006, том 2. – С. 315-318.</w:t>
      </w:r>
      <w:bookmarkEnd w:id="12"/>
    </w:p>
    <w:p w:rsidR="004F4F00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bookmarkStart w:id="13" w:name="_Ref148908407"/>
      <w:r>
        <w:t>Зобов Б.И., Этко И.Г. Корпоративное обучение: состояние и тенденции развития. Труды Международного научно-методического симпозиума «Информатизация общего, педагогического и дополнительного образования» – Мальта, 2006. – С. 214-226.</w:t>
      </w:r>
      <w:bookmarkEnd w:id="13"/>
    </w:p>
    <w:p w:rsidR="004F4F00" w:rsidRPr="00DB266A" w:rsidRDefault="004F4F00">
      <w:pPr>
        <w:numPr>
          <w:ilvl w:val="0"/>
          <w:numId w:val="45"/>
        </w:numPr>
        <w:tabs>
          <w:tab w:val="num" w:pos="1080"/>
        </w:tabs>
        <w:spacing w:before="60"/>
        <w:ind w:left="0" w:firstLine="720"/>
        <w:jc w:val="both"/>
      </w:pPr>
      <w:bookmarkStart w:id="14" w:name="_Ref148907851"/>
      <w:bookmarkEnd w:id="7"/>
      <w:r>
        <w:t xml:space="preserve">Этко И.Г. Оперативное прогнозирование эффективности нововведений в процесс разработки электронных учебных курсов. Труды IV Всероссийского научно-методического </w:t>
      </w:r>
      <w:r>
        <w:lastRenderedPageBreak/>
        <w:t>симпозиума «Информатизация сельской школы» - Анапа: М.: ООО «Пресс-Атташе», 2006. – С. 366-369.</w:t>
      </w:r>
      <w:bookmarkEnd w:id="5"/>
      <w:bookmarkEnd w:id="14"/>
    </w:p>
    <w:p w:rsidR="00DB266A" w:rsidRPr="00DB266A" w:rsidRDefault="00DB266A" w:rsidP="00DB266A">
      <w:pPr>
        <w:spacing w:before="60"/>
        <w:jc w:val="both"/>
      </w:pPr>
    </w:p>
    <w:p w:rsidR="00DB266A" w:rsidRPr="003D19A1" w:rsidRDefault="00DB266A" w:rsidP="00DB266A">
      <w:pPr>
        <w:ind w:left="1353" w:hanging="1353"/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-----------------------------------------------------------------------------------------------------------------------</w:t>
      </w:r>
    </w:p>
    <w:p w:rsidR="00DB266A" w:rsidRDefault="00120204" w:rsidP="00DC6885">
      <w:pPr>
        <w:ind w:left="1353"/>
        <w:jc w:val="both"/>
      </w:pPr>
      <w:r>
        <w:rPr>
          <w:noProof/>
          <w:color w:val="1F497D"/>
        </w:rPr>
        <w:pict>
          <v:shape id="_x0000_s1700" type="#_x0000_t75" style="position:absolute;left:0;text-align:left;margin-left:1.05pt;margin-top:6.15pt;width:58.5pt;height:75pt;z-index:3;mso-wrap-distance-left:2.85pt;mso-wrap-distance-top:2.85pt;mso-wrap-distance-right:8.5pt;mso-wrap-distance-bottom:2.85pt" o:allowoverlap="f" fillcolor="#1f497d" stroked="t" strokecolor="#1f497d" strokeweight=".25pt">
            <v:imagedata r:id="rId56" o:title="1"/>
            <w10:wrap type="square"/>
          </v:shape>
        </w:pict>
      </w:r>
      <w:r w:rsidR="00DB266A">
        <w:rPr>
          <w:color w:val="1F497D"/>
          <w:u w:val="single"/>
        </w:rPr>
        <w:t>Российский портал информатизации образования</w:t>
      </w:r>
      <w:r w:rsidR="00DB266A" w:rsidRPr="003D19A1">
        <w:rPr>
          <w:color w:val="1F497D"/>
        </w:rPr>
        <w:t xml:space="preserve"> </w:t>
      </w:r>
      <w:hyperlink r:id="rId57" w:history="1">
        <w:r w:rsidR="00DB266A" w:rsidRPr="003D19A1">
          <w:rPr>
            <w:rStyle w:val="a3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DB266A">
      <w:pgSz w:w="11906" w:h="16838" w:code="9"/>
      <w:pgMar w:top="1134" w:right="851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04" w:rsidRDefault="00120204">
      <w:r>
        <w:separator/>
      </w:r>
    </w:p>
  </w:endnote>
  <w:endnote w:type="continuationSeparator" w:id="0">
    <w:p w:rsidR="00120204" w:rsidRDefault="0012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0" w:rsidRDefault="004F4F0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4F4F00" w:rsidRDefault="004F4F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0" w:rsidRDefault="004F4F00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04" w:rsidRDefault="00120204">
      <w:r>
        <w:separator/>
      </w:r>
    </w:p>
  </w:footnote>
  <w:footnote w:type="continuationSeparator" w:id="0">
    <w:p w:rsidR="00120204" w:rsidRDefault="0012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0" w:rsidRDefault="004F4F0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4F4F00" w:rsidRDefault="004F4F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00" w:rsidRDefault="004F4F0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77C5">
      <w:rPr>
        <w:rStyle w:val="ac"/>
        <w:noProof/>
      </w:rPr>
      <w:t>19</w:t>
    </w:r>
    <w:r>
      <w:rPr>
        <w:rStyle w:val="ac"/>
      </w:rPr>
      <w:fldChar w:fldCharType="end"/>
    </w:r>
  </w:p>
  <w:p w:rsidR="004F4F00" w:rsidRDefault="004F4F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825"/>
    <w:multiLevelType w:val="hybridMultilevel"/>
    <w:tmpl w:val="0B12FAA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9D2764C"/>
    <w:multiLevelType w:val="hybridMultilevel"/>
    <w:tmpl w:val="1F1AA4BE"/>
    <w:lvl w:ilvl="0" w:tplc="F95CC10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A0A41F3"/>
    <w:multiLevelType w:val="hybridMultilevel"/>
    <w:tmpl w:val="0DE2F45A"/>
    <w:lvl w:ilvl="0" w:tplc="CA84B9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56125B"/>
    <w:multiLevelType w:val="hybridMultilevel"/>
    <w:tmpl w:val="447827F8"/>
    <w:lvl w:ilvl="0" w:tplc="E976DA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F837A3"/>
    <w:multiLevelType w:val="multilevel"/>
    <w:tmpl w:val="3576599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C0EC9"/>
    <w:multiLevelType w:val="hybridMultilevel"/>
    <w:tmpl w:val="37D68DF6"/>
    <w:lvl w:ilvl="0" w:tplc="517682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AF2FBE2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>
    <w:nsid w:val="1C646181"/>
    <w:multiLevelType w:val="hybridMultilevel"/>
    <w:tmpl w:val="DFF8DD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C2704C"/>
    <w:multiLevelType w:val="hybridMultilevel"/>
    <w:tmpl w:val="DDDCD332"/>
    <w:lvl w:ilvl="0" w:tplc="E7288CD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1DF46AC6">
      <w:start w:val="1"/>
      <w:numFmt w:val="decimal"/>
      <w:lvlText w:val="%2."/>
      <w:lvlJc w:val="left"/>
      <w:pPr>
        <w:tabs>
          <w:tab w:val="num" w:pos="833"/>
        </w:tabs>
        <w:ind w:left="833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8">
    <w:nsid w:val="1F303E3E"/>
    <w:multiLevelType w:val="hybridMultilevel"/>
    <w:tmpl w:val="F44461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AF2FBE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7AF2FBE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2CE6F66"/>
    <w:multiLevelType w:val="hybridMultilevel"/>
    <w:tmpl w:val="F3C2198E"/>
    <w:lvl w:ilvl="0" w:tplc="B9D2594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D12BC"/>
    <w:multiLevelType w:val="hybridMultilevel"/>
    <w:tmpl w:val="B16AD3FE"/>
    <w:lvl w:ilvl="0" w:tplc="7AF2FBE2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4F50DE5"/>
    <w:multiLevelType w:val="hybridMultilevel"/>
    <w:tmpl w:val="9D3E0272"/>
    <w:lvl w:ilvl="0" w:tplc="7AF2FBE2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B7471"/>
    <w:multiLevelType w:val="hybridMultilevel"/>
    <w:tmpl w:val="EE5CE5C8"/>
    <w:lvl w:ilvl="0" w:tplc="DE309A8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7107E"/>
    <w:multiLevelType w:val="hybridMultilevel"/>
    <w:tmpl w:val="4D10D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209FC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31C37"/>
    <w:multiLevelType w:val="hybridMultilevel"/>
    <w:tmpl w:val="3E9AE2D2"/>
    <w:lvl w:ilvl="0" w:tplc="14E03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A4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62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20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A9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07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49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E2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C8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6057F"/>
    <w:multiLevelType w:val="hybridMultilevel"/>
    <w:tmpl w:val="56F0CE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2AD96F42"/>
    <w:multiLevelType w:val="hybridMultilevel"/>
    <w:tmpl w:val="1E32C502"/>
    <w:lvl w:ilvl="0" w:tplc="04190011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2D9277B4"/>
    <w:multiLevelType w:val="hybridMultilevel"/>
    <w:tmpl w:val="F976CE36"/>
    <w:lvl w:ilvl="0" w:tplc="93D24F7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8">
    <w:nsid w:val="2D961ED7"/>
    <w:multiLevelType w:val="hybridMultilevel"/>
    <w:tmpl w:val="B7B88E62"/>
    <w:lvl w:ilvl="0" w:tplc="93D24F7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BC6E34"/>
    <w:multiLevelType w:val="hybridMultilevel"/>
    <w:tmpl w:val="17F20636"/>
    <w:lvl w:ilvl="0" w:tplc="B9D2594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063A7"/>
    <w:multiLevelType w:val="hybridMultilevel"/>
    <w:tmpl w:val="B186EC6C"/>
    <w:lvl w:ilvl="0" w:tplc="F95CC10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35B75A9D"/>
    <w:multiLevelType w:val="hybridMultilevel"/>
    <w:tmpl w:val="9F3C5F88"/>
    <w:lvl w:ilvl="0" w:tplc="B9D2594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22">
    <w:nsid w:val="3BE622F4"/>
    <w:multiLevelType w:val="hybridMultilevel"/>
    <w:tmpl w:val="51D00E74"/>
    <w:lvl w:ilvl="0" w:tplc="E976DA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80BF4"/>
    <w:multiLevelType w:val="hybridMultilevel"/>
    <w:tmpl w:val="BD12D0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F44360"/>
    <w:multiLevelType w:val="hybridMultilevel"/>
    <w:tmpl w:val="E2069DDE"/>
    <w:lvl w:ilvl="0" w:tplc="B9D2594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816D1"/>
    <w:multiLevelType w:val="hybridMultilevel"/>
    <w:tmpl w:val="1788FEE0"/>
    <w:lvl w:ilvl="0" w:tplc="7AF2FBE2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540776"/>
    <w:multiLevelType w:val="hybridMultilevel"/>
    <w:tmpl w:val="BD502358"/>
    <w:lvl w:ilvl="0" w:tplc="B9D2594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305BFD"/>
    <w:multiLevelType w:val="hybridMultilevel"/>
    <w:tmpl w:val="8410C8F8"/>
    <w:lvl w:ilvl="0" w:tplc="B9D2594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28">
    <w:nsid w:val="439D1FEC"/>
    <w:multiLevelType w:val="hybridMultilevel"/>
    <w:tmpl w:val="AC1C4ABA"/>
    <w:lvl w:ilvl="0" w:tplc="F95CC10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83E4858"/>
    <w:multiLevelType w:val="hybridMultilevel"/>
    <w:tmpl w:val="50A682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E58C8"/>
    <w:multiLevelType w:val="hybridMultilevel"/>
    <w:tmpl w:val="F09AEEFA"/>
    <w:lvl w:ilvl="0" w:tplc="7938F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90F61"/>
    <w:multiLevelType w:val="hybridMultilevel"/>
    <w:tmpl w:val="82B61144"/>
    <w:lvl w:ilvl="0" w:tplc="E976DA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616AEF"/>
    <w:multiLevelType w:val="hybridMultilevel"/>
    <w:tmpl w:val="3AAAEB0A"/>
    <w:lvl w:ilvl="0" w:tplc="1092F7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784E77"/>
    <w:multiLevelType w:val="hybridMultilevel"/>
    <w:tmpl w:val="7E0C24B2"/>
    <w:lvl w:ilvl="0" w:tplc="14102138">
      <w:numFmt w:val="none"/>
      <w:pStyle w:val="Bullet1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2ADCAB4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7FE6331"/>
    <w:multiLevelType w:val="hybridMultilevel"/>
    <w:tmpl w:val="44DC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374D41"/>
    <w:multiLevelType w:val="hybridMultilevel"/>
    <w:tmpl w:val="29BC7858"/>
    <w:lvl w:ilvl="0" w:tplc="E976DA3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5C7D7A63"/>
    <w:multiLevelType w:val="hybridMultilevel"/>
    <w:tmpl w:val="BE8458EE"/>
    <w:lvl w:ilvl="0" w:tplc="B9D2594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37">
    <w:nsid w:val="5DA1429B"/>
    <w:multiLevelType w:val="hybridMultilevel"/>
    <w:tmpl w:val="4BDA54F6"/>
    <w:lvl w:ilvl="0" w:tplc="DE309A8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8">
    <w:nsid w:val="5DC6344B"/>
    <w:multiLevelType w:val="hybridMultilevel"/>
    <w:tmpl w:val="5DACFE44"/>
    <w:lvl w:ilvl="0" w:tplc="B9D259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E50D8"/>
    <w:multiLevelType w:val="hybridMultilevel"/>
    <w:tmpl w:val="65000E18"/>
    <w:lvl w:ilvl="0" w:tplc="B9D2594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AA03F98"/>
    <w:multiLevelType w:val="hybridMultilevel"/>
    <w:tmpl w:val="C79C4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142CE"/>
    <w:multiLevelType w:val="hybridMultilevel"/>
    <w:tmpl w:val="426A26E4"/>
    <w:lvl w:ilvl="0" w:tplc="041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2">
    <w:nsid w:val="6DBA4AC3"/>
    <w:multiLevelType w:val="hybridMultilevel"/>
    <w:tmpl w:val="C9A08036"/>
    <w:lvl w:ilvl="0" w:tplc="E976DA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D00075"/>
    <w:multiLevelType w:val="hybridMultilevel"/>
    <w:tmpl w:val="4E6E6912"/>
    <w:lvl w:ilvl="0" w:tplc="B9D259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>
    <w:nsid w:val="7BCA4937"/>
    <w:multiLevelType w:val="hybridMultilevel"/>
    <w:tmpl w:val="0E5ACFA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C0B7A5C"/>
    <w:multiLevelType w:val="hybridMultilevel"/>
    <w:tmpl w:val="DDD24646"/>
    <w:lvl w:ilvl="0" w:tplc="7AF2FBE2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38"/>
  </w:num>
  <w:num w:numId="5">
    <w:abstractNumId w:val="42"/>
  </w:num>
  <w:num w:numId="6">
    <w:abstractNumId w:val="30"/>
  </w:num>
  <w:num w:numId="7">
    <w:abstractNumId w:val="2"/>
  </w:num>
  <w:num w:numId="8">
    <w:abstractNumId w:val="39"/>
  </w:num>
  <w:num w:numId="9">
    <w:abstractNumId w:val="9"/>
  </w:num>
  <w:num w:numId="10">
    <w:abstractNumId w:val="21"/>
  </w:num>
  <w:num w:numId="11">
    <w:abstractNumId w:val="35"/>
  </w:num>
  <w:num w:numId="12">
    <w:abstractNumId w:val="17"/>
  </w:num>
  <w:num w:numId="13">
    <w:abstractNumId w:val="13"/>
  </w:num>
  <w:num w:numId="14">
    <w:abstractNumId w:val="36"/>
  </w:num>
  <w:num w:numId="15">
    <w:abstractNumId w:val="7"/>
  </w:num>
  <w:num w:numId="16">
    <w:abstractNumId w:val="27"/>
  </w:num>
  <w:num w:numId="17">
    <w:abstractNumId w:val="5"/>
  </w:num>
  <w:num w:numId="18">
    <w:abstractNumId w:val="26"/>
  </w:num>
  <w:num w:numId="19">
    <w:abstractNumId w:val="19"/>
  </w:num>
  <w:num w:numId="20">
    <w:abstractNumId w:val="23"/>
  </w:num>
  <w:num w:numId="21">
    <w:abstractNumId w:val="15"/>
  </w:num>
  <w:num w:numId="22">
    <w:abstractNumId w:val="6"/>
  </w:num>
  <w:num w:numId="23">
    <w:abstractNumId w:val="32"/>
  </w:num>
  <w:num w:numId="24">
    <w:abstractNumId w:val="33"/>
  </w:num>
  <w:num w:numId="25">
    <w:abstractNumId w:val="45"/>
  </w:num>
  <w:num w:numId="26">
    <w:abstractNumId w:val="11"/>
  </w:num>
  <w:num w:numId="27">
    <w:abstractNumId w:val="31"/>
  </w:num>
  <w:num w:numId="28">
    <w:abstractNumId w:val="16"/>
  </w:num>
  <w:num w:numId="29">
    <w:abstractNumId w:val="29"/>
  </w:num>
  <w:num w:numId="30">
    <w:abstractNumId w:val="24"/>
  </w:num>
  <w:num w:numId="31">
    <w:abstractNumId w:val="10"/>
  </w:num>
  <w:num w:numId="32">
    <w:abstractNumId w:val="34"/>
  </w:num>
  <w:num w:numId="33">
    <w:abstractNumId w:val="25"/>
  </w:num>
  <w:num w:numId="34">
    <w:abstractNumId w:val="40"/>
  </w:num>
  <w:num w:numId="35">
    <w:abstractNumId w:val="18"/>
  </w:num>
  <w:num w:numId="36">
    <w:abstractNumId w:val="4"/>
  </w:num>
  <w:num w:numId="37">
    <w:abstractNumId w:val="43"/>
  </w:num>
  <w:num w:numId="38">
    <w:abstractNumId w:val="20"/>
  </w:num>
  <w:num w:numId="39">
    <w:abstractNumId w:val="28"/>
  </w:num>
  <w:num w:numId="40">
    <w:abstractNumId w:val="1"/>
  </w:num>
  <w:num w:numId="41">
    <w:abstractNumId w:val="14"/>
  </w:num>
  <w:num w:numId="42">
    <w:abstractNumId w:val="41"/>
  </w:num>
  <w:num w:numId="43">
    <w:abstractNumId w:val="37"/>
  </w:num>
  <w:num w:numId="44">
    <w:abstractNumId w:val="12"/>
  </w:num>
  <w:num w:numId="45">
    <w:abstractNumId w:val="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49D"/>
    <w:rsid w:val="00120204"/>
    <w:rsid w:val="004F4F00"/>
    <w:rsid w:val="006C725E"/>
    <w:rsid w:val="006F5A2E"/>
    <w:rsid w:val="00883111"/>
    <w:rsid w:val="009F77C5"/>
    <w:rsid w:val="00A533CE"/>
    <w:rsid w:val="00A5649D"/>
    <w:rsid w:val="00CF231C"/>
    <w:rsid w:val="00DB266A"/>
    <w:rsid w:val="00DC6885"/>
    <w:rsid w:val="00E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2" style="mso-position-vertical-relative:line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outlineLvl w:val="2"/>
    </w:pPr>
    <w:rPr>
      <w:rFonts w:ascii="Verdana" w:hAnsi="Verdana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ind w:left="552" w:firstLine="156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720"/>
      </w:tabs>
      <w:spacing w:before="600" w:line="360" w:lineRule="auto"/>
      <w:jc w:val="both"/>
    </w:pPr>
    <w:rPr>
      <w:b/>
      <w:noProof/>
      <w:sz w:val="28"/>
      <w:szCs w:val="28"/>
    </w:rPr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Normal (Web)"/>
    <w:basedOn w:val="a"/>
    <w:semiHidden/>
    <w:pPr>
      <w:spacing w:before="100" w:beforeAutospacing="1" w:after="100" w:afterAutospacing="1"/>
    </w:pPr>
    <w:rPr>
      <w:color w:val="333333"/>
    </w:rPr>
  </w:style>
  <w:style w:type="paragraph" w:styleId="21">
    <w:name w:val="Body Text 2"/>
    <w:basedOn w:val="a"/>
    <w:semiHidden/>
    <w:rPr>
      <w:b/>
      <w:bCs/>
      <w:i/>
      <w:iCs/>
      <w:sz w:val="20"/>
    </w:rPr>
  </w:style>
  <w:style w:type="paragraph" w:styleId="30">
    <w:name w:val="Body Text 3"/>
    <w:basedOn w:val="a"/>
    <w:semiHidden/>
    <w:rPr>
      <w:sz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base">
    <w:name w:val="base"/>
    <w:basedOn w:val="a"/>
    <w:pPr>
      <w:spacing w:after="150"/>
      <w:ind w:left="750" w:right="300"/>
    </w:pPr>
    <w:rPr>
      <w:rFonts w:ascii="Arial" w:hAnsi="Arial" w:cs="Arial"/>
      <w:sz w:val="18"/>
      <w:szCs w:val="18"/>
    </w:rPr>
  </w:style>
  <w:style w:type="paragraph" w:styleId="a8">
    <w:name w:val="caption"/>
    <w:basedOn w:val="a"/>
    <w:next w:val="a"/>
    <w:qFormat/>
    <w:rPr>
      <w:b/>
      <w:bCs/>
      <w:sz w:val="20"/>
      <w:szCs w:val="20"/>
    </w:rPr>
  </w:style>
  <w:style w:type="paragraph" w:customStyle="1" w:styleId="a9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customStyle="1" w:styleId="code">
    <w:name w:val="code"/>
    <w:basedOn w:val="a"/>
    <w:rPr>
      <w:rFonts w:ascii="Courier New" w:hAnsi="Courier New"/>
      <w:color w:val="333399"/>
      <w:sz w:val="22"/>
      <w:lang w:val="en-US" w:eastAsia="en-US"/>
    </w:rPr>
  </w:style>
  <w:style w:type="character" w:customStyle="1" w:styleId="codeChar">
    <w:name w:val="code Char"/>
    <w:rPr>
      <w:rFonts w:ascii="Courier New" w:hAnsi="Courier New"/>
      <w:color w:val="333399"/>
      <w:sz w:val="22"/>
      <w:szCs w:val="24"/>
      <w:lang w:val="en-US" w:eastAsia="en-US" w:bidi="ar-SA"/>
    </w:rPr>
  </w:style>
  <w:style w:type="paragraph" w:customStyle="1" w:styleId="true1">
    <w:name w:val="true1"/>
    <w:basedOn w:val="a"/>
    <w:pPr>
      <w:shd w:val="clear" w:color="auto" w:fill="FFFFFF"/>
      <w:spacing w:before="100" w:beforeAutospacing="1" w:after="100" w:afterAutospacing="1"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nowrap1">
    <w:name w:val="nowrap1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1">
    <w:name w:val="Bullet 1"/>
    <w:basedOn w:val="a"/>
    <w:pPr>
      <w:numPr>
        <w:numId w:val="24"/>
      </w:numPr>
    </w:pPr>
  </w:style>
  <w:style w:type="character" w:styleId="ad">
    <w:name w:val="Strong"/>
    <w:qFormat/>
    <w:rPr>
      <w:b/>
      <w:bCs/>
    </w:rPr>
  </w:style>
  <w:style w:type="character" w:styleId="a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9.png"/><Relationship Id="rId53" Type="http://schemas.openxmlformats.org/officeDocument/2006/relationships/oleObject" Target="embeddings/oleObject19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hyperlink" Target="http://portalsga.ru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image" Target="media/image26.jpeg"/><Relationship Id="rId8" Type="http://schemas.openxmlformats.org/officeDocument/2006/relationships/header" Target="header1.xml"/><Relationship Id="rId51" Type="http://schemas.openxmlformats.org/officeDocument/2006/relationships/oleObject" Target="embeddings/oleObject18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ПРОГРАММНАЯ РЕАЛИЗАЦИЯ КОРПОРАТИВНЫХ ЭЛЕКТРОННЫХ УЧЕБНЫХ КУРСОВ В ОБЛАСТИ АВТОМАТИЗИРОВАННЫХ ИНФОРМАЦИОННО-УПРАВЛЯЮЩИХ СИСТЕМ И СОВЕРШЕНСТВОВАНИЕ МЕТОДИКИ РАЗРАБОТКИ ЭТИХ КУРСОВ</vt:lpstr>
    </vt:vector>
  </TitlesOfParts>
  <Company> </Company>
  <LinksUpToDate>false</LinksUpToDate>
  <CharactersWithSpaces>29332</CharactersWithSpaces>
  <SharedDoc>false</SharedDoc>
  <HLinks>
    <vt:vector size="6" baseType="variant"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ПРОГРАММНАЯ РЕАЛИЗАЦИЯ КОРПОРАТИВНЫХ ЭЛЕКТРОННЫХ УЧЕБНЫХ КУРСОВ В ОБЛАСТИ АВТОМАТИЗИРОВАННЫХ ИНФОРМАЦИОННО-УПРАВЛЯЮЩИХ СИСТЕМ И СОВЕРШЕНСТВОВАНИЕ МЕТОДИКИ РАЗРАБОТКИ ЭТИХ КУРСОВ</dc:title>
  <dc:subject/>
  <dc:creator>portalsga.ru</dc:creator>
  <cp:keywords/>
  <dc:description/>
  <cp:lastModifiedBy>Viktor</cp:lastModifiedBy>
  <cp:revision>2</cp:revision>
  <cp:lastPrinted>2006-11-28T07:32:00Z</cp:lastPrinted>
  <dcterms:created xsi:type="dcterms:W3CDTF">2017-04-14T11:30:00Z</dcterms:created>
  <dcterms:modified xsi:type="dcterms:W3CDTF">2017-04-14T11:30:00Z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