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7A" w:rsidRDefault="003E597A" w:rsidP="003E597A">
      <w:pPr>
        <w:jc w:val="both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СанПиН 2.2.2/2.4.1340-03</w:t>
      </w:r>
      <w:r>
        <w:rPr>
          <w:rFonts w:ascii="Verdana" w:hAnsi="Verdana"/>
          <w:color w:val="333333"/>
          <w:sz w:val="15"/>
          <w:szCs w:val="15"/>
        </w:rPr>
        <w:t xml:space="preserve"> </w:t>
      </w:r>
    </w:p>
    <w:p w:rsidR="003E597A" w:rsidRDefault="003E597A" w:rsidP="003E597A">
      <w:pPr>
        <w:pStyle w:val="align-right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Зарегистрировано в Минюсте РФ 10 июня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Verdana" w:hAnsi="Verdana"/>
            <w:color w:val="333333"/>
            <w:sz w:val="15"/>
            <w:szCs w:val="15"/>
          </w:rPr>
          <w:t>2003 г</w:t>
        </w:r>
      </w:smartTag>
      <w:r>
        <w:rPr>
          <w:rFonts w:ascii="Verdana" w:hAnsi="Verdana"/>
          <w:color w:val="333333"/>
          <w:sz w:val="15"/>
          <w:szCs w:val="15"/>
        </w:rPr>
        <w:t>.</w:t>
      </w:r>
    </w:p>
    <w:p w:rsidR="003E597A" w:rsidRDefault="003E597A" w:rsidP="003E597A">
      <w:pPr>
        <w:pStyle w:val="align-right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Регистрационный N 4673</w:t>
      </w:r>
    </w:p>
    <w:p w:rsidR="003E597A" w:rsidRDefault="003E597A" w:rsidP="009F537B">
      <w:pPr>
        <w:pStyle w:val="a3"/>
      </w:pPr>
      <w:bookmarkStart w:id="0" w:name="_GoBack"/>
      <w:r w:rsidRPr="009F537B">
        <w:rPr>
          <w:sz w:val="28"/>
          <w:szCs w:val="28"/>
        </w:rPr>
        <w:t>Постановление Главного государственного санитарного врача РФ</w:t>
      </w:r>
      <w:bookmarkEnd w:id="0"/>
      <w:r w:rsidR="009F537B">
        <w:rPr>
          <w:sz w:val="28"/>
          <w:szCs w:val="28"/>
        </w:rPr>
        <w:t xml:space="preserve"> </w:t>
      </w:r>
      <w:r w:rsidRPr="009F537B">
        <w:rPr>
          <w:sz w:val="28"/>
          <w:szCs w:val="28"/>
        </w:rPr>
        <w:t xml:space="preserve">от 3 июня </w:t>
      </w:r>
      <w:smartTag w:uri="urn:schemas-microsoft-com:office:smarttags" w:element="metricconverter">
        <w:smartTagPr>
          <w:attr w:name="ProductID" w:val="2003 г"/>
        </w:smartTagPr>
        <w:r w:rsidRPr="009F537B">
          <w:rPr>
            <w:sz w:val="28"/>
            <w:szCs w:val="28"/>
          </w:rPr>
          <w:t>2003 г</w:t>
        </w:r>
      </w:smartTag>
      <w:r w:rsidRPr="009F537B">
        <w:rPr>
          <w:sz w:val="28"/>
          <w:szCs w:val="28"/>
        </w:rPr>
        <w:t>. N 118</w:t>
      </w:r>
      <w:r w:rsidR="009F537B">
        <w:rPr>
          <w:sz w:val="28"/>
          <w:szCs w:val="28"/>
        </w:rPr>
        <w:t xml:space="preserve"> </w:t>
      </w:r>
      <w:r w:rsidRPr="009F537B">
        <w:rPr>
          <w:sz w:val="28"/>
          <w:szCs w:val="28"/>
        </w:rPr>
        <w:t>"О введении в действие санитарно-эпидемиологических правил и нормативов</w:t>
      </w:r>
      <w:r w:rsidR="009F537B">
        <w:rPr>
          <w:sz w:val="28"/>
          <w:szCs w:val="28"/>
        </w:rPr>
        <w:t xml:space="preserve"> </w:t>
      </w:r>
      <w:r w:rsidRPr="009F537B">
        <w:rPr>
          <w:sz w:val="28"/>
          <w:szCs w:val="28"/>
        </w:rPr>
        <w:t>СанПиН 2.2.2/2.4.1340-03"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На основании Федерального закона "О санитарно-эпидемиологическом благополучии населения" от 30 марта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Verdana" w:hAnsi="Verdana"/>
            <w:color w:val="333333"/>
            <w:sz w:val="15"/>
            <w:szCs w:val="15"/>
          </w:rPr>
          <w:t>1999 г</w:t>
        </w:r>
      </w:smartTag>
      <w:r>
        <w:rPr>
          <w:rFonts w:ascii="Verdana" w:hAnsi="Verdana"/>
          <w:color w:val="333333"/>
          <w:sz w:val="15"/>
          <w:szCs w:val="15"/>
        </w:rPr>
        <w:t xml:space="preserve">. N 52-ФЗ (Собрание законодательства Российской Федерации 1999, N 14, ст.1650) и Положения о государственном санитарно-эпидемиологическом нормировании, утвержденного постановлением Правительства Российской Федерации от 24 июля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Verdana" w:hAnsi="Verdana"/>
            <w:color w:val="333333"/>
            <w:sz w:val="15"/>
            <w:szCs w:val="15"/>
          </w:rPr>
          <w:t>2000 г</w:t>
        </w:r>
      </w:smartTag>
      <w:r>
        <w:rPr>
          <w:rFonts w:ascii="Verdana" w:hAnsi="Verdana"/>
          <w:color w:val="333333"/>
          <w:sz w:val="15"/>
          <w:szCs w:val="15"/>
        </w:rPr>
        <w:t xml:space="preserve"> N 554 (Собрание законодательства Российской Федерации, 2000, N 31, ст.3295) </w:t>
      </w:r>
    </w:p>
    <w:p w:rsidR="003E597A" w:rsidRDefault="003E597A" w:rsidP="003E597A">
      <w:pPr>
        <w:pStyle w:val="align-justify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постановляю:</w:t>
      </w:r>
    </w:p>
    <w:p w:rsidR="003E597A" w:rsidRDefault="003E597A" w:rsidP="003E597A">
      <w:pPr>
        <w:spacing w:before="100" w:beforeAutospacing="1" w:after="100" w:afterAutospacing="1"/>
        <w:jc w:val="both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1. Ввести в действие с 30 июня 2003 года санитарно-эпидемиологические правила и нормативы "Гигиенические требования к персональным электронно-вычислительным машинам и организации работы. СанПиН 2.2.2/2.4.1340-03", утвержденные Главным государственным санитарным врачом Российской Федерации 30 мая 2003 года.</w:t>
      </w:r>
    </w:p>
    <w:p w:rsidR="003E597A" w:rsidRDefault="003E597A" w:rsidP="003E597A">
      <w:pPr>
        <w:pStyle w:val="align-right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Г.Г.Онищенко</w:t>
      </w:r>
    </w:p>
    <w:p w:rsidR="003E597A" w:rsidRDefault="003E597A" w:rsidP="003E597A">
      <w:pPr>
        <w:pStyle w:val="align-right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Зарегистрировано в Минюсте РФ 10 июня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Verdana" w:hAnsi="Verdana"/>
            <w:color w:val="333333"/>
            <w:sz w:val="15"/>
            <w:szCs w:val="15"/>
          </w:rPr>
          <w:t>2003 г</w:t>
        </w:r>
      </w:smartTag>
      <w:r>
        <w:rPr>
          <w:rFonts w:ascii="Verdana" w:hAnsi="Verdana"/>
          <w:color w:val="333333"/>
          <w:sz w:val="15"/>
          <w:szCs w:val="15"/>
        </w:rPr>
        <w:t>.</w:t>
      </w:r>
    </w:p>
    <w:p w:rsidR="003E597A" w:rsidRDefault="003E597A" w:rsidP="003E597A">
      <w:pPr>
        <w:pStyle w:val="align-right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Регистрационный N 4673</w:t>
      </w:r>
    </w:p>
    <w:p w:rsidR="003E597A" w:rsidRDefault="003E597A" w:rsidP="003E597A">
      <w:pPr>
        <w:pStyle w:val="align-center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2.2.2. Гигиена труда, технологические процессы, сырье, материалы,</w:t>
      </w:r>
    </w:p>
    <w:p w:rsidR="003E597A" w:rsidRDefault="003E597A" w:rsidP="003E597A">
      <w:pPr>
        <w:pStyle w:val="align-center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оборудование, рабочий инструмент</w:t>
      </w:r>
    </w:p>
    <w:p w:rsidR="003E597A" w:rsidRDefault="003E597A" w:rsidP="003E597A">
      <w:pPr>
        <w:pStyle w:val="align-center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2.4. Гигиена детей и подростков</w:t>
      </w:r>
    </w:p>
    <w:p w:rsidR="003E597A" w:rsidRDefault="003E597A" w:rsidP="003E597A">
      <w:pPr>
        <w:pStyle w:val="align-center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Санитарно-эпидемиологические правила и нормативы СанПиН 2.2.2/2.4.1340-03</w:t>
      </w:r>
    </w:p>
    <w:p w:rsidR="003E597A" w:rsidRDefault="003E597A" w:rsidP="003E597A">
      <w:pPr>
        <w:pStyle w:val="align-center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"Гигиенические требования к персональным электронно-вычислительным</w:t>
      </w:r>
    </w:p>
    <w:p w:rsidR="003E597A" w:rsidRDefault="003E597A" w:rsidP="003E597A">
      <w:pPr>
        <w:pStyle w:val="align-center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машинам и организации работы"</w:t>
      </w:r>
    </w:p>
    <w:p w:rsidR="003E597A" w:rsidRDefault="003E597A" w:rsidP="003E597A">
      <w:pPr>
        <w:pStyle w:val="align-right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(утв. Главным государственным санитарным врачом РФ 30 мая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Verdana" w:hAnsi="Verdana"/>
            <w:color w:val="333333"/>
            <w:sz w:val="15"/>
            <w:szCs w:val="15"/>
          </w:rPr>
          <w:t>2003 г</w:t>
        </w:r>
      </w:smartTag>
      <w:r>
        <w:rPr>
          <w:rFonts w:ascii="Verdana" w:hAnsi="Verdana"/>
          <w:color w:val="333333"/>
          <w:sz w:val="15"/>
          <w:szCs w:val="15"/>
        </w:rPr>
        <w:t>.)</w:t>
      </w:r>
    </w:p>
    <w:p w:rsidR="003E597A" w:rsidRDefault="003E597A" w:rsidP="003E597A">
      <w:pPr>
        <w:pStyle w:val="align-right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Дата введения: 30 июня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Verdana" w:hAnsi="Verdana"/>
            <w:color w:val="333333"/>
            <w:sz w:val="15"/>
            <w:szCs w:val="15"/>
          </w:rPr>
          <w:t>2003 г</w:t>
        </w:r>
      </w:smartTag>
      <w:r>
        <w:rPr>
          <w:rFonts w:ascii="Verdana" w:hAnsi="Verdana"/>
          <w:color w:val="333333"/>
          <w:sz w:val="15"/>
          <w:szCs w:val="15"/>
        </w:rPr>
        <w:t>.</w:t>
      </w:r>
    </w:p>
    <w:p w:rsidR="003E597A" w:rsidRDefault="003E597A" w:rsidP="003E597A">
      <w:pPr>
        <w:pStyle w:val="align-justify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I. Общие положения и область применения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1.1. Настоящие государственные санитарно-эпидемиологические правила и нормативы (далее - Санитарные правила) разработаны в соответствии с Федеральным законом "О санитарно-эпидемиологическом благополучии населения# от 30 марта 1999 года N 52-ФЗ (Собрание законодательства Российской Федерации, 1999, N 14, ст.1650) и Положением о государственном санитарно-эпидемиологическом нормировании, утвержденным постановлением Правительства Российской Федерации от 24 июля 2000 года N 554 (Собрание законодательства Российской Федерации, 2000, N 31, ст.3295).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1.2. Санитарные правила действуют на всей территории Российской Федерации и устанавливают санитарно-эпидемиологические требования к персональным электронно-вычислительным машинам (ПЭВМ) и условиям труда.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1.3. Требования Санитарных правил направлены на предотвращение неблагоприятного влияния на здоровье человека вредных факторов производственной среды и трудового процесса при работе с ПЭВМ.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1.4. Настоящие Санитарные правила определяют санитарно-эпидемиологические требования к: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- проектированию, изготовлению и эксплуатации отечественных ПЭВМ, используемых на производстве, в обучении, в быту, в игровых автоматах на базе ПЭВМ;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lastRenderedPageBreak/>
        <w:t>- эксплуатации импортных ПЭВМ, используемых на производстве, в обучении, в быту и в игровых комплексах (автоматах) на базе ПЭВМ;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- проектированию, строительству и реконструкции помещений, предназначенных для эксплуатации всех типов ПЭВМ, производственного оборудования и игровых комплексов (автоматов) на базе ПЭВМ;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- организации рабочих мест с ПЭВМ, производственным оборудованием и игровыми комплексами (автоматами) на базе ПЭВМ.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1.5. Требования Санитарных правил распространяются: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- на условия и организацию работы с ПЭВМ;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- на вычислительные электронные цифровые машины персональные, портативные; периферийные устройства вычислительных комплексов (принтеры, сканеры, клавиатура, модемы внешние, электрические компьютерные сетевые устройства, устройства хранения информации, блоки бесперебойного питания и пр.), устройства отображения информации (</w:t>
      </w:r>
      <w:proofErr w:type="spellStart"/>
      <w:r>
        <w:rPr>
          <w:rFonts w:ascii="Verdana" w:hAnsi="Verdana"/>
          <w:color w:val="333333"/>
          <w:sz w:val="15"/>
          <w:szCs w:val="15"/>
        </w:rPr>
        <w:t>видеодисплейные</w:t>
      </w:r>
      <w:proofErr w:type="spellEnd"/>
      <w:r>
        <w:rPr>
          <w:rFonts w:ascii="Verdana" w:hAnsi="Verdana"/>
          <w:color w:val="333333"/>
          <w:sz w:val="15"/>
          <w:szCs w:val="15"/>
        </w:rPr>
        <w:t xml:space="preserve"> терминалы (ВДТ) всех типов) и игровые комплексы на базе ПЭВМ.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1.6. Требования Санитарных правил не распространяются на проектирование, изготовление и эксплуатацию: 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- бытовых телевизоров и телевизионных игровых приставок;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- средств визуального отображения информации микроконтроллеров,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встроенных в технологическое оборудование;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- ПЭВМ транспортных средств;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- ПЭВМ, перемещающихся в процессе работы.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1.7. Ответственность за выполнение настоящих Санитарных правил возлагается на юридических лиц и индивидуальных предпринимателей, осуществляющих: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- разработку, производство и эксплуатацию ПЭВМ, производственное оборудование и игровые комплексы на базе ПЭВМ;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- проектирование, строительство и реконструкцию помещений, предназначенных для эксплуатации ПЭВМ в промышленных, административных общественных зданиях, а также в образовательных и культурно-развлекательных учреждениях.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1.8. Индивидуальными предпринимателями и юридическими лицами в процессе производства и эксплуатации ПЭВМ должен осуществляться производственный контроль за соблюдением настоящих Санитарных правил.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1.9. Рабочие места с использованием ПЭВМ должны соответствовать требованиям настоящих Санитарных правил.</w:t>
      </w:r>
    </w:p>
    <w:p w:rsidR="003E597A" w:rsidRDefault="003E597A" w:rsidP="003E597A">
      <w:pPr>
        <w:pStyle w:val="align-justify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II. Требования к ПЭВМ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2.1. ПЭВМ должны соответствовать требованиям настоящих санитарных правил и каждый их тип подлежит санитарно-эпидемиологической экспертизе с оценкой в испытательных лабораториях, аккредитованных в установленном порядке.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2.2. Перечень продукции и контролируемых гигиенических параметров вредных и опасных факторов представлены в приложении 1 (таблица 1).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2.3. Допустимые уровни звукового давления и уровней звука, создаваемого ПЭВМ, не должны превышать значений, представленных в приложении 1 (таблица 2).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2.4. Временные допустимые уровни электромагнитных полей (ЭМП), создаваемых ПЭВМ, не должны превышать значений, представленных в приложении 1 (таблица 3).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2.5. Допустимые визуальные параметры устройств отображения информации представлены в приложении 1 (таблица 4).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2.6. Концентрации вредных веществ, выделяемых ПЭВМ в воздух помещений, не должны превышать предельно допустимых концентраций (ПДК), установленных для атмосферного воздуха.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lastRenderedPageBreak/>
        <w:t xml:space="preserve">2.7. Мощность экспозиционной дозы мягкого рентгеновского излучения в любой точке на расстоянии </w:t>
      </w:r>
      <w:smartTag w:uri="urn:schemas-microsoft-com:office:smarttags" w:element="metricconverter">
        <w:smartTagPr>
          <w:attr w:name="ProductID" w:val="0,05 м"/>
        </w:smartTagPr>
        <w:r>
          <w:rPr>
            <w:rFonts w:ascii="Verdana" w:hAnsi="Verdana"/>
            <w:color w:val="333333"/>
            <w:sz w:val="15"/>
            <w:szCs w:val="15"/>
          </w:rPr>
          <w:t>0,05 м</w:t>
        </w:r>
      </w:smartTag>
      <w:r>
        <w:rPr>
          <w:rFonts w:ascii="Verdana" w:hAnsi="Verdana"/>
          <w:color w:val="333333"/>
          <w:sz w:val="15"/>
          <w:szCs w:val="15"/>
        </w:rPr>
        <w:t xml:space="preserve"> от экрана и корпуса ВДТ (на электроннолучевой трубке) при любых положениях регулировочных устройств не должна превышать 1 </w:t>
      </w:r>
      <w:proofErr w:type="spellStart"/>
      <w:r>
        <w:rPr>
          <w:rFonts w:ascii="Verdana" w:hAnsi="Verdana"/>
          <w:color w:val="333333"/>
          <w:sz w:val="15"/>
          <w:szCs w:val="15"/>
        </w:rPr>
        <w:t>мкЗв</w:t>
      </w:r>
      <w:proofErr w:type="spellEnd"/>
      <w:r>
        <w:rPr>
          <w:rFonts w:ascii="Verdana" w:hAnsi="Verdana"/>
          <w:color w:val="333333"/>
          <w:sz w:val="15"/>
          <w:szCs w:val="15"/>
        </w:rPr>
        <w:t xml:space="preserve">/час (100 </w:t>
      </w:r>
      <w:proofErr w:type="spellStart"/>
      <w:r>
        <w:rPr>
          <w:rFonts w:ascii="Verdana" w:hAnsi="Verdana"/>
          <w:color w:val="333333"/>
          <w:sz w:val="15"/>
          <w:szCs w:val="15"/>
        </w:rPr>
        <w:t>мкР</w:t>
      </w:r>
      <w:proofErr w:type="spellEnd"/>
      <w:r>
        <w:rPr>
          <w:rFonts w:ascii="Verdana" w:hAnsi="Verdana"/>
          <w:color w:val="333333"/>
          <w:sz w:val="15"/>
          <w:szCs w:val="15"/>
        </w:rPr>
        <w:t>/час).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2.8. Конструкция ПЭВМ должна обеспечивать возможность поворота корпуса в горизонтальной и вертикальной плоскости с фиксацией в заданном положении для обеспечения фронтального наблюдения экрана ВДТ. Дизайн ПЭВМ должен предусматривать окраску корпуса в спокойные мягкие тона с диффузным рассеиванием света. Корпус ПЭВМ, клавиатура и другие блоки и устройства ПЭВМ должны иметь матовую поверхность с коэффициентом отражения 0,4 - 0,6 и не иметь блестящих деталей, способных создавать блики.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2.9. Конструкция ВДТ должна предусматривать регулирование яркости и контрастности.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2.10. Документация на проектирование, изготовление и эксплуатацию ПЭВМ не должна противоречить требованиям настоящих санитарных правил.</w:t>
      </w:r>
    </w:p>
    <w:p w:rsidR="003E597A" w:rsidRDefault="003E597A" w:rsidP="003E597A">
      <w:pPr>
        <w:pStyle w:val="align-justify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III. Требования к помещениям для работы с ПЭВМ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3.1. Помещения для эксплуатации ПЭВМ должны иметь естественное и искусственное освещение. Эксплуатация ПЭВМ в помещениях без естественного освещения допускается только при соответствующем обосновании и наличии положительного санитарно-эпидемиологического заключения, выданного в установленном порядке. 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3.2. Естественное и искусственное освещение должно соответствовать требованиям действующей нормативной документации. Окна в помещениях, где эксплуатируется вычислительная техника, преимущественно должны быть ориентированы на север и северо-восток.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Оконные проемы должны быть оборудованы регулируемыми устройствами типа: жалюзи, занавесей, внешних козырьков и др.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3.3. Не допускается размещение мест пользователей ПЭВМ во всех образовательных и культурно-развлекательных учреждениях для детей и подростков в цокольных и подвальных помещениях.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3.4. Площадь на одно рабочее место пользователей ПЭВМ с ВДТ на базе электроннолучевой трубки (ЭЛТ) должна составлять не менее </w:t>
      </w:r>
      <w:smartTag w:uri="urn:schemas-microsoft-com:office:smarttags" w:element="metricconverter">
        <w:smartTagPr>
          <w:attr w:name="ProductID" w:val="6 м2"/>
        </w:smartTagPr>
        <w:r>
          <w:rPr>
            <w:rFonts w:ascii="Verdana" w:hAnsi="Verdana"/>
            <w:color w:val="333333"/>
            <w:sz w:val="15"/>
            <w:szCs w:val="15"/>
          </w:rPr>
          <w:t>6 м2</w:t>
        </w:r>
      </w:smartTag>
      <w:r>
        <w:rPr>
          <w:rFonts w:ascii="Verdana" w:hAnsi="Verdana"/>
          <w:color w:val="333333"/>
          <w:sz w:val="15"/>
          <w:szCs w:val="15"/>
        </w:rPr>
        <w:t xml:space="preserve">, в помещениях культурно-развлекательных учреждений и с ВДТ на базе плоских дискретных экранов (жидкокристаллические, плазменные) - </w:t>
      </w:r>
      <w:smartTag w:uri="urn:schemas-microsoft-com:office:smarttags" w:element="metricconverter">
        <w:smartTagPr>
          <w:attr w:name="ProductID" w:val="4,5 м2"/>
        </w:smartTagPr>
        <w:r>
          <w:rPr>
            <w:rFonts w:ascii="Verdana" w:hAnsi="Verdana"/>
            <w:color w:val="333333"/>
            <w:sz w:val="15"/>
            <w:szCs w:val="15"/>
          </w:rPr>
          <w:t>4,5 м2</w:t>
        </w:r>
      </w:smartTag>
      <w:r>
        <w:rPr>
          <w:rFonts w:ascii="Verdana" w:hAnsi="Verdana"/>
          <w:color w:val="333333"/>
          <w:sz w:val="15"/>
          <w:szCs w:val="15"/>
        </w:rPr>
        <w:t>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При использовании ПВЭМ с ВДТ на базе ЭЛТ (без вспомогательных устройств - принтер, сканер и др.), отвечающих требованиям международных стандартов безопасности компьютеров, с продолжительностью работы менее 4-х часов в день допускается минимальная площадь </w:t>
      </w:r>
      <w:smartTag w:uri="urn:schemas-microsoft-com:office:smarttags" w:element="metricconverter">
        <w:smartTagPr>
          <w:attr w:name="ProductID" w:val="4,5 м2"/>
        </w:smartTagPr>
        <w:r>
          <w:rPr>
            <w:rFonts w:ascii="Verdana" w:hAnsi="Verdana"/>
            <w:color w:val="333333"/>
            <w:sz w:val="15"/>
            <w:szCs w:val="15"/>
          </w:rPr>
          <w:t>4,5 м2</w:t>
        </w:r>
      </w:smartTag>
      <w:r>
        <w:rPr>
          <w:rFonts w:ascii="Verdana" w:hAnsi="Verdana"/>
          <w:color w:val="333333"/>
          <w:sz w:val="15"/>
          <w:szCs w:val="15"/>
        </w:rPr>
        <w:t xml:space="preserve"> на одно рабочее место пользователя (взрослого и учащегося высшего профессионального образования).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3.5. Для внутренней отделки интерьера помещений, где расположены ПЭВМ, должны использоваться диффузно-отражающие материалы с коэффициентом отражения для потолка - 0,7 - 0,8; для стен - 0,5 - 0,6; для пола - 0,3 -0,5.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3.6. Полимерные материалы используются для внутренней отделки интерьера помещений с ПЭВМ при наличии санитарно-эпидемиологического заключения.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3.7. Помещения, где размещаются рабочие места с ПЭВМ, должны быть оборудованы защитным заземлением (</w:t>
      </w:r>
      <w:proofErr w:type="spellStart"/>
      <w:r>
        <w:rPr>
          <w:rFonts w:ascii="Verdana" w:hAnsi="Verdana"/>
          <w:color w:val="333333"/>
          <w:sz w:val="15"/>
          <w:szCs w:val="15"/>
        </w:rPr>
        <w:t>занулением</w:t>
      </w:r>
      <w:proofErr w:type="spellEnd"/>
      <w:r>
        <w:rPr>
          <w:rFonts w:ascii="Verdana" w:hAnsi="Verdana"/>
          <w:color w:val="333333"/>
          <w:sz w:val="15"/>
          <w:szCs w:val="15"/>
        </w:rPr>
        <w:t>) в соответствии с техническими требованиями по эксплуатации.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3.8. Не следует размещать рабочие места с ПЭВМ вблизи силовых кабелей и вводов, высоковольтных трансформаторов, технологического оборудования, создающего помехи в работе ПЭВМ.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IV. Требования к микроклимату, содержанию аэроионов и вредных химических веществ в воздухе на рабочих местах, оборудованных ПЭВМ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4.1. В производственных помещениях, в которых работа с использованием ПЭВМ является вспомогательной, температура, относительная влажность и скорость движения воздуха на рабочих местах должны соответствовать действующим санитарным нормам микроклимата производственных помещений.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4.2. В производственных помещениях, в которых работа с использованием ПЭВМ является основной (диспетчерские, операторские, расчетные, кабины и посты управления, залы вычислительной техники и др.) и связана с нервно-эмоциональным напряжением, должны обеспечиваться оптимальные параметры микроклимата для категории работ 1а и 1б в соответствии с действующими санитарно-эпидемиологическими нормативами микроклимата производственных помещений. На других рабочих местах следует поддерживать параметры микроклимата на допустимом уровне, соответствующем требованиям указанных выше нормативов.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4.3. В помещениях всех типов образовательных и культурно-развлекательных учреждений для детей и подростков, где расположены ПЭВМ, должны обеспечиваться оптимальные параметры микроклимата (приложение 2).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lastRenderedPageBreak/>
        <w:t>4.4. В помещениях, оборудованных ПЭВМ, проводится ежедневная влажная уборка и систематическое проветривание после каждого часа работы на ПЭВМ.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4.5. Уровни положительных и отрицательных аэроионов в воздухе помещений, где расположены ПЭВМ, должны соответствовать действующим санитарно-эпидемиологическим нормативам.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4.6. Содержание вредных химических веществ в воздухе производственных помещений, в которых работа с использованием ПЭВМ является вспомогательной, не должно превышать предельно допустимых концентраций вредных веществ в воздухе рабочей зоны в соответствии с действующими гигиеническими нормативами.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4.7. Содержание вредных химических веществ в производственных помещениях, в которых работа с использованием ПЭВМ является основной (диспетчерские, операторские, расчетные, кабины и посты управления, залы вычислительной техники и др.), не должно превышать предельно допустимых концентраций загрязняющих веществ в атмосферном воздухе населенных мест в соответствии с действующими гигиеническими нормативами.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4.8. Содержание вредных химических веществ в воздухе помещений, предназначенных для использования ПЭВМ во всех типах образовательных учреждений, не должно превышать предельно допустимых среднесуточных концентраций для атмосферного воздуха в соответствии с действующими санитарно-эпидемиологическими нормативами.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V. Требования к уровням шума и вибрации на рабочих местах, оборудованных ПЭВМ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5.1. В производственных помещениях при выполнении основных или вспомогательных работ с использованием ПЭВМ уровни шума на рабочих местах не должны превышать предельно допустимых значений, установленных для данных видов работ в соответствии с действующими санитарно-эпидемиологическими нормативами.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5.2. В помещениях всех образовательных и культурно-развлекательных учреждений для детей и подростков, где расположены ПЭВМ, уровни шума не должны превышать допустимых значений, установленных для жилых и общественных зданий.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5.3. При выполнении работ с использованием ПЭВМ в производственных помещениях уровень вибрации не должен превышать допустимых значений вибрации для рабочих мест (категория 3, тип "в") в соответствии с действующими санитарно-эпидемиологическими нормативами.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В помещениях всех типов образовательных и культурно-развлекательных учреждений, в которых эксплуатируются ПЭВМ, уровень вибрации не должен превышать допустимых значений для жилых и общественных зданий в соответствии с действующими санитарно-эпидемиологическими нормативами.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5.4. Шумящее оборудование (печатающие устройства, серверы и т.п.), уровни шума которого превышают нормативные, должно размещаться вне помещений с ПЭВМ.</w:t>
      </w:r>
    </w:p>
    <w:p w:rsidR="003E597A" w:rsidRDefault="003E597A" w:rsidP="003E597A">
      <w:pPr>
        <w:pStyle w:val="align-justify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VI. Требования к освещению на рабочих местах, оборудованных ПЭВМ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6.1. Рабочие столы следует размещать таким образом, чтобы </w:t>
      </w:r>
      <w:proofErr w:type="spellStart"/>
      <w:r>
        <w:rPr>
          <w:rFonts w:ascii="Verdana" w:hAnsi="Verdana"/>
          <w:color w:val="333333"/>
          <w:sz w:val="15"/>
          <w:szCs w:val="15"/>
        </w:rPr>
        <w:t>видеодисплейные</w:t>
      </w:r>
      <w:proofErr w:type="spellEnd"/>
      <w:r>
        <w:rPr>
          <w:rFonts w:ascii="Verdana" w:hAnsi="Verdana"/>
          <w:color w:val="333333"/>
          <w:sz w:val="15"/>
          <w:szCs w:val="15"/>
        </w:rPr>
        <w:t xml:space="preserve"> терминалы были ориентированы боковой стороной к световым проемам, чтобы естественный свет падал преимущественно слева.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6.2. Искусственное освещение в помещениях для эксплуатации ПЭВМ должно осуществляться системой общего равномерного освещения. В производственных и административно-общественных помещениях, в случаях преимущественной работы с документами, следует применять системы комбинированного освещения (к общему освещению дополнительно устанавливаются светильники местного освещения, предназначенные для освещения зоны расположения документов).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6.3. Освещенность на поверхности стола в зоне размещения рабочего документа должна быть 300 - 500 лк. Освещение не должно создавать бликов на поверхности экрана. Освещенность поверхности экрана не должна быть более 300 лк.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6.4. Следует ограничивать прямую </w:t>
      </w:r>
      <w:proofErr w:type="spellStart"/>
      <w:r>
        <w:rPr>
          <w:rFonts w:ascii="Verdana" w:hAnsi="Verdana"/>
          <w:color w:val="333333"/>
          <w:sz w:val="15"/>
          <w:szCs w:val="15"/>
        </w:rPr>
        <w:t>блесткость</w:t>
      </w:r>
      <w:proofErr w:type="spellEnd"/>
      <w:r>
        <w:rPr>
          <w:rFonts w:ascii="Verdana" w:hAnsi="Verdana"/>
          <w:color w:val="333333"/>
          <w:sz w:val="15"/>
          <w:szCs w:val="15"/>
        </w:rPr>
        <w:t xml:space="preserve"> от источников освещения, при этом яркость светящихся поверхностей (окна, светильники и др.), находящихся в поле зрения, должна быть не более 200 кд/м2.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6.5. Следует ограничивать отраженную </w:t>
      </w:r>
      <w:proofErr w:type="spellStart"/>
      <w:r>
        <w:rPr>
          <w:rFonts w:ascii="Verdana" w:hAnsi="Verdana"/>
          <w:color w:val="333333"/>
          <w:sz w:val="15"/>
          <w:szCs w:val="15"/>
        </w:rPr>
        <w:t>блесткость</w:t>
      </w:r>
      <w:proofErr w:type="spellEnd"/>
      <w:r>
        <w:rPr>
          <w:rFonts w:ascii="Verdana" w:hAnsi="Verdana"/>
          <w:color w:val="333333"/>
          <w:sz w:val="15"/>
          <w:szCs w:val="15"/>
        </w:rPr>
        <w:t xml:space="preserve"> на рабочих поверхностях (экран, стол, клавиатура и др.) за счет правильного выбора типов светильников и расположения рабочих мест по отношению к источникам естественного и искусственного освещения, при этом яркость бликов на экране ПЭВМ не должна превышать 40 кд/м2 и яркость потолка не должна превышать 200 кд/м2.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6.6. Показатель </w:t>
      </w:r>
      <w:proofErr w:type="spellStart"/>
      <w:r>
        <w:rPr>
          <w:rFonts w:ascii="Verdana" w:hAnsi="Verdana"/>
          <w:color w:val="333333"/>
          <w:sz w:val="15"/>
          <w:szCs w:val="15"/>
        </w:rPr>
        <w:t>ослепленности</w:t>
      </w:r>
      <w:proofErr w:type="spellEnd"/>
      <w:r>
        <w:rPr>
          <w:rFonts w:ascii="Verdana" w:hAnsi="Verdana"/>
          <w:color w:val="333333"/>
          <w:sz w:val="15"/>
          <w:szCs w:val="15"/>
        </w:rPr>
        <w:t xml:space="preserve"> для источников общего искусственного освещения в производственных помещениях должен быть не более 20.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Показатель дискомфорта в административно-общественных помещениях не более 40, в дошкольных и учебных помещениях не более 15.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lastRenderedPageBreak/>
        <w:t>6.7. Яркость светильников общего освещения в зоне углов излучения от 50 до 90 градусов с вертикалью в продольной и поперечной плоскостях должна составлять не более 200 кд/м2, защитный угол светильников должен быть не менее 40 градусов.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6.8. Светильники местного освещения должны иметь не просвечивающий отражатель с защитным углом не менее 40 градусов.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6.9. Следует ограничивать неравномерность распределения яркости в поле зрения пользователя ПЭВМ, при этом соотношение яркости между рабочими поверхностями не должно превышать 3:1 - 5:1, а между рабочими поверхностями и поверхностями стен и оборудования 10:1.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6.10. В качестве источников света при искусственном освещении следует применять преимущественно люминесцентные лампы типа ЛБ и компактные люминесцентные лампы (КЛЛ). При устройстве отраженного освещения в производственных и административно-общественных помещениях допускается применение </w:t>
      </w:r>
      <w:proofErr w:type="spellStart"/>
      <w:r>
        <w:rPr>
          <w:rFonts w:ascii="Verdana" w:hAnsi="Verdana"/>
          <w:color w:val="333333"/>
          <w:sz w:val="15"/>
          <w:szCs w:val="15"/>
        </w:rPr>
        <w:t>металлогалогенных</w:t>
      </w:r>
      <w:proofErr w:type="spellEnd"/>
      <w:r>
        <w:rPr>
          <w:rFonts w:ascii="Verdana" w:hAnsi="Verdana"/>
          <w:color w:val="333333"/>
          <w:sz w:val="15"/>
          <w:szCs w:val="15"/>
        </w:rPr>
        <w:t xml:space="preserve"> ламп. В светильниках местного освещения допускается применение ламп накаливания, в том числе галогенные.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6.11. Для освещения помещений с ПЭВМ следует применять светильники с зеркальными параболическими решетками, укомплектованными электронными </w:t>
      </w:r>
      <w:proofErr w:type="spellStart"/>
      <w:proofErr w:type="gramStart"/>
      <w:r>
        <w:rPr>
          <w:rFonts w:ascii="Verdana" w:hAnsi="Verdana"/>
          <w:color w:val="333333"/>
          <w:sz w:val="15"/>
          <w:szCs w:val="15"/>
        </w:rPr>
        <w:t>пуско</w:t>
      </w:r>
      <w:proofErr w:type="spellEnd"/>
      <w:r>
        <w:rPr>
          <w:rFonts w:ascii="Verdana" w:hAnsi="Verdana"/>
          <w:color w:val="333333"/>
          <w:sz w:val="15"/>
          <w:szCs w:val="15"/>
        </w:rPr>
        <w:t>-регулирующими</w:t>
      </w:r>
      <w:proofErr w:type="gramEnd"/>
      <w:r>
        <w:rPr>
          <w:rFonts w:ascii="Verdana" w:hAnsi="Verdana"/>
          <w:color w:val="333333"/>
          <w:sz w:val="15"/>
          <w:szCs w:val="15"/>
        </w:rPr>
        <w:t xml:space="preserve"> аппаратами (ЭПРА). Допускается использование многоламповых светильников с электромагнитными </w:t>
      </w:r>
      <w:proofErr w:type="spellStart"/>
      <w:proofErr w:type="gramStart"/>
      <w:r>
        <w:rPr>
          <w:rFonts w:ascii="Verdana" w:hAnsi="Verdana"/>
          <w:color w:val="333333"/>
          <w:sz w:val="15"/>
          <w:szCs w:val="15"/>
        </w:rPr>
        <w:t>пуско</w:t>
      </w:r>
      <w:proofErr w:type="spellEnd"/>
      <w:r>
        <w:rPr>
          <w:rFonts w:ascii="Verdana" w:hAnsi="Verdana"/>
          <w:color w:val="333333"/>
          <w:sz w:val="15"/>
          <w:szCs w:val="15"/>
        </w:rPr>
        <w:t>-регулирующими</w:t>
      </w:r>
      <w:proofErr w:type="gramEnd"/>
      <w:r>
        <w:rPr>
          <w:rFonts w:ascii="Verdana" w:hAnsi="Verdana"/>
          <w:color w:val="333333"/>
          <w:sz w:val="15"/>
          <w:szCs w:val="15"/>
        </w:rPr>
        <w:t xml:space="preserve"> аппаратами (ЭПРА), состоящими из равного числа опережающих и отстающих ветвей.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Применение светильников без </w:t>
      </w:r>
      <w:proofErr w:type="spellStart"/>
      <w:r>
        <w:rPr>
          <w:rFonts w:ascii="Verdana" w:hAnsi="Verdana"/>
          <w:color w:val="333333"/>
          <w:sz w:val="15"/>
          <w:szCs w:val="15"/>
        </w:rPr>
        <w:t>рассеивателей</w:t>
      </w:r>
      <w:proofErr w:type="spellEnd"/>
      <w:r>
        <w:rPr>
          <w:rFonts w:ascii="Verdana" w:hAnsi="Verdana"/>
          <w:color w:val="333333"/>
          <w:sz w:val="15"/>
          <w:szCs w:val="15"/>
        </w:rPr>
        <w:t xml:space="preserve"> и экранирующих решеток не допускается.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При отсутствии светильников с ЭПРА лампы многоламповых светильников или рядом расположенные светильники общего освещения следует включать на разные фазы трехфазной сети.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6.12. Общее освещение при использовании люминесцентных светильников следует выполнять в виде сплошных или прерывистых линий светильников, расположенных сбоку от рабочих мест, параллельно линии зрения пользователя при рядном расположении </w:t>
      </w:r>
      <w:proofErr w:type="spellStart"/>
      <w:r>
        <w:rPr>
          <w:rFonts w:ascii="Verdana" w:hAnsi="Verdana"/>
          <w:color w:val="333333"/>
          <w:sz w:val="15"/>
          <w:szCs w:val="15"/>
        </w:rPr>
        <w:t>видеодисплейных</w:t>
      </w:r>
      <w:proofErr w:type="spellEnd"/>
      <w:r>
        <w:rPr>
          <w:rFonts w:ascii="Verdana" w:hAnsi="Verdana"/>
          <w:color w:val="333333"/>
          <w:sz w:val="15"/>
          <w:szCs w:val="15"/>
        </w:rPr>
        <w:t xml:space="preserve"> терминалов. При </w:t>
      </w:r>
      <w:proofErr w:type="spellStart"/>
      <w:r>
        <w:rPr>
          <w:rFonts w:ascii="Verdana" w:hAnsi="Verdana"/>
          <w:color w:val="333333"/>
          <w:sz w:val="15"/>
          <w:szCs w:val="15"/>
        </w:rPr>
        <w:t>периметральном</w:t>
      </w:r>
      <w:proofErr w:type="spellEnd"/>
      <w:r>
        <w:rPr>
          <w:rFonts w:ascii="Verdana" w:hAnsi="Verdana"/>
          <w:color w:val="333333"/>
          <w:sz w:val="15"/>
          <w:szCs w:val="15"/>
        </w:rPr>
        <w:t xml:space="preserve"> расположении компьютеров линии светильников должны располагаться локализовано над рабочим столом ближе к его переднему краю, обращенному к оператору.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6.13. Коэффициент запаса (</w:t>
      </w:r>
      <w:proofErr w:type="spellStart"/>
      <w:r>
        <w:rPr>
          <w:rFonts w:ascii="Verdana" w:hAnsi="Verdana"/>
          <w:color w:val="333333"/>
          <w:sz w:val="15"/>
          <w:szCs w:val="15"/>
        </w:rPr>
        <w:t>Кз</w:t>
      </w:r>
      <w:proofErr w:type="spellEnd"/>
      <w:r>
        <w:rPr>
          <w:rFonts w:ascii="Verdana" w:hAnsi="Verdana"/>
          <w:color w:val="333333"/>
          <w:sz w:val="15"/>
          <w:szCs w:val="15"/>
        </w:rPr>
        <w:t xml:space="preserve">) для осветительных установок общего освещения должен приниматься равным 1,4. 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6.14. Коэффициент пульсации не должен превышать 5%.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6.15. Для обеспечения нормируемых значений освещенности в помещениях для использования ПЭВМ следует проводить чистку стекол оконных рам и светильников не реже двух раз в год и проводить своевременную замену перегоревших ламп.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VII. Требования к уровням электромагнитных полей на рабочих местах, оборудованных ПЭВМ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7.1. Временные допустимые уровни ЭМП, создаваемых ПЭВМ на рабочих местах пользователей, а также в помещениях образовательных, дошкольных и культурно-развлекательных учреждений, представлены в приложении 2 (таблица 1).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7.2. Методика проведения инструментального контроля уровней ЭМП на рабочих местах пользователей ПЭВМ представлена в Приложении 3.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VIII. Требования к визуальным параметрам ВДТ, контролируемым на рабочих местах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8.1. Предельно допустимые значения визуальных параметров ВДТ, контролируемые на рабочих местах, представлены в приложении 2 (таблица 3).</w:t>
      </w:r>
    </w:p>
    <w:p w:rsidR="003E597A" w:rsidRDefault="003E597A" w:rsidP="003E597A">
      <w:pPr>
        <w:pStyle w:val="align-justify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IX. Общие требования к организации рабочих мест пользователей ПЭВМ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9.1. При размещении рабочих мест с ПЭВМ расстояние между рабочими столами с видеомониторами (в направлении тыла поверхности одного видеомонитора и экрана другого видеомонитора), должно быть не менее </w:t>
      </w:r>
      <w:smartTag w:uri="urn:schemas-microsoft-com:office:smarttags" w:element="metricconverter">
        <w:smartTagPr>
          <w:attr w:name="ProductID" w:val="2,0 м"/>
        </w:smartTagPr>
        <w:r>
          <w:rPr>
            <w:rFonts w:ascii="Verdana" w:hAnsi="Verdana"/>
            <w:color w:val="333333"/>
            <w:sz w:val="15"/>
            <w:szCs w:val="15"/>
          </w:rPr>
          <w:t>2,0 м</w:t>
        </w:r>
      </w:smartTag>
      <w:r>
        <w:rPr>
          <w:rFonts w:ascii="Verdana" w:hAnsi="Verdana"/>
          <w:color w:val="333333"/>
          <w:sz w:val="15"/>
          <w:szCs w:val="15"/>
        </w:rPr>
        <w:t xml:space="preserve">, а расстояние между боковыми поверхностями видеомониторов - не менее </w:t>
      </w:r>
      <w:smartTag w:uri="urn:schemas-microsoft-com:office:smarttags" w:element="metricconverter">
        <w:smartTagPr>
          <w:attr w:name="ProductID" w:val="1,2 м"/>
        </w:smartTagPr>
        <w:r>
          <w:rPr>
            <w:rFonts w:ascii="Verdana" w:hAnsi="Verdana"/>
            <w:color w:val="333333"/>
            <w:sz w:val="15"/>
            <w:szCs w:val="15"/>
          </w:rPr>
          <w:t>1,2 м</w:t>
        </w:r>
      </w:smartTag>
      <w:r>
        <w:rPr>
          <w:rFonts w:ascii="Verdana" w:hAnsi="Verdana"/>
          <w:color w:val="333333"/>
          <w:sz w:val="15"/>
          <w:szCs w:val="15"/>
        </w:rPr>
        <w:t>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9.2. Рабочие места с ПЭВМ в помещениях с источниками вредных производственных факторов должны размещаться в изолированных кабинах с организованным воздухообменом.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9.3. Рабочие места с ПЭВМ при выполнении творческой работы, требующей значительного умственного напряжения или высокой концентрации внимания, рекомендуется изолировать друг от друга перегородками высотой 1,5 - </w:t>
      </w:r>
      <w:smartTag w:uri="urn:schemas-microsoft-com:office:smarttags" w:element="metricconverter">
        <w:smartTagPr>
          <w:attr w:name="ProductID" w:val="2,0 м"/>
        </w:smartTagPr>
        <w:r>
          <w:rPr>
            <w:rFonts w:ascii="Verdana" w:hAnsi="Verdana"/>
            <w:color w:val="333333"/>
            <w:sz w:val="15"/>
            <w:szCs w:val="15"/>
          </w:rPr>
          <w:t>2,0 м</w:t>
        </w:r>
      </w:smartTag>
      <w:r>
        <w:rPr>
          <w:rFonts w:ascii="Verdana" w:hAnsi="Verdana"/>
          <w:color w:val="333333"/>
          <w:sz w:val="15"/>
          <w:szCs w:val="15"/>
        </w:rPr>
        <w:t>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9.4. Экран видеомонитора должен находиться от глаз пользователя на расстоянии 600 - </w:t>
      </w:r>
      <w:smartTag w:uri="urn:schemas-microsoft-com:office:smarttags" w:element="metricconverter">
        <w:smartTagPr>
          <w:attr w:name="ProductID" w:val="700 мм"/>
        </w:smartTagPr>
        <w:r>
          <w:rPr>
            <w:rFonts w:ascii="Verdana" w:hAnsi="Verdana"/>
            <w:color w:val="333333"/>
            <w:sz w:val="15"/>
            <w:szCs w:val="15"/>
          </w:rPr>
          <w:t>700 мм</w:t>
        </w:r>
      </w:smartTag>
      <w:r>
        <w:rPr>
          <w:rFonts w:ascii="Verdana" w:hAnsi="Verdana"/>
          <w:color w:val="333333"/>
          <w:sz w:val="15"/>
          <w:szCs w:val="15"/>
        </w:rPr>
        <w:t xml:space="preserve">, но не ближе </w:t>
      </w:r>
      <w:smartTag w:uri="urn:schemas-microsoft-com:office:smarttags" w:element="metricconverter">
        <w:smartTagPr>
          <w:attr w:name="ProductID" w:val="500 мм"/>
        </w:smartTagPr>
        <w:r>
          <w:rPr>
            <w:rFonts w:ascii="Verdana" w:hAnsi="Verdana"/>
            <w:color w:val="333333"/>
            <w:sz w:val="15"/>
            <w:szCs w:val="15"/>
          </w:rPr>
          <w:t>500 мм</w:t>
        </w:r>
      </w:smartTag>
      <w:r>
        <w:rPr>
          <w:rFonts w:ascii="Verdana" w:hAnsi="Verdana"/>
          <w:color w:val="333333"/>
          <w:sz w:val="15"/>
          <w:szCs w:val="15"/>
        </w:rPr>
        <w:t xml:space="preserve"> с учетом размеров алфавитно-цифровых знаков и символов.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lastRenderedPageBreak/>
        <w:t xml:space="preserve">9.5. 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особенностей, характера выполняемой работы. 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При этом допускается использование рабочих столов различных конструкций, отвечающих современным требованиям эргономики. Поверхность рабочего стола должна иметь коэффициент отражения 0,5 - 0,7.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9.6. Конструкция рабочего стула (кресла) должна обеспечивать поддержание рациональной рабочей позы при работе на ПЭВМ позволять изменять позу с целью снижения статического напряжения мышц шейно-плечевой области и спины для предупреждения развития утомления. Тип рабочего стула (кресла) следует выбирать с учетом роста пользователя, характера и продолжительности работы с ПЭВМ.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Рабочий стул (кресло) должен быть подъемно-поворотным, регулируемым по высоте и углам наклона сиденья и спинки, а также расстоянию спинки от переднего края сиденья, при этом регулировка каждого параметра должна быть независимой, легко осуществляемой и иметь надежную фиксацию.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9.7. Поверхность сиденья, спинки и других элементов стула (кресла) должна быть полумягкой, с нескользящим, слабо электризующимся и воздухопроницаемым покрытием, обеспечивающим легкую очистку от загрязнений.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 xml:space="preserve">X. Требования к организации и оборудованию рабочих мест с ПЭВМ для взрослых пользователей 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10.1. Высота рабочей поверхности стола для взрослых пользователей должна регулироваться в пределах 680 - </w:t>
      </w:r>
      <w:smartTag w:uri="urn:schemas-microsoft-com:office:smarttags" w:element="metricconverter">
        <w:smartTagPr>
          <w:attr w:name="ProductID" w:val="800 мм"/>
        </w:smartTagPr>
        <w:r>
          <w:rPr>
            <w:rFonts w:ascii="Verdana" w:hAnsi="Verdana"/>
            <w:color w:val="333333"/>
            <w:sz w:val="15"/>
            <w:szCs w:val="15"/>
          </w:rPr>
          <w:t>800 мм</w:t>
        </w:r>
      </w:smartTag>
      <w:r>
        <w:rPr>
          <w:rFonts w:ascii="Verdana" w:hAnsi="Verdana"/>
          <w:color w:val="333333"/>
          <w:sz w:val="15"/>
          <w:szCs w:val="15"/>
        </w:rPr>
        <w:t xml:space="preserve">; при отсутствии такой возможности высота рабочей поверхности стола должна составлять </w:t>
      </w:r>
      <w:smartTag w:uri="urn:schemas-microsoft-com:office:smarttags" w:element="metricconverter">
        <w:smartTagPr>
          <w:attr w:name="ProductID" w:val="725 мм"/>
        </w:smartTagPr>
        <w:r>
          <w:rPr>
            <w:rFonts w:ascii="Verdana" w:hAnsi="Verdana"/>
            <w:color w:val="333333"/>
            <w:sz w:val="15"/>
            <w:szCs w:val="15"/>
          </w:rPr>
          <w:t>725 мм</w:t>
        </w:r>
      </w:smartTag>
      <w:r>
        <w:rPr>
          <w:rFonts w:ascii="Verdana" w:hAnsi="Verdana"/>
          <w:color w:val="333333"/>
          <w:sz w:val="15"/>
          <w:szCs w:val="15"/>
        </w:rPr>
        <w:t>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10.2. Модульными размерами рабочей поверхности стола для ПЭВМ, на основании которых должны рассчитываться конструктивные размеры, следует считать: ширину 800, 1000, 1200 и </w:t>
      </w:r>
      <w:smartTag w:uri="urn:schemas-microsoft-com:office:smarttags" w:element="metricconverter">
        <w:smartTagPr>
          <w:attr w:name="ProductID" w:val="1400 мм"/>
        </w:smartTagPr>
        <w:r>
          <w:rPr>
            <w:rFonts w:ascii="Verdana" w:hAnsi="Verdana"/>
            <w:color w:val="333333"/>
            <w:sz w:val="15"/>
            <w:szCs w:val="15"/>
          </w:rPr>
          <w:t>1400 мм</w:t>
        </w:r>
      </w:smartTag>
      <w:r>
        <w:rPr>
          <w:rFonts w:ascii="Verdana" w:hAnsi="Verdana"/>
          <w:color w:val="333333"/>
          <w:sz w:val="15"/>
          <w:szCs w:val="15"/>
        </w:rPr>
        <w:t xml:space="preserve">, глубину 800 и </w:t>
      </w:r>
      <w:smartTag w:uri="urn:schemas-microsoft-com:office:smarttags" w:element="metricconverter">
        <w:smartTagPr>
          <w:attr w:name="ProductID" w:val="1000 мм"/>
        </w:smartTagPr>
        <w:r>
          <w:rPr>
            <w:rFonts w:ascii="Verdana" w:hAnsi="Verdana"/>
            <w:color w:val="333333"/>
            <w:sz w:val="15"/>
            <w:szCs w:val="15"/>
          </w:rPr>
          <w:t>1000 мм</w:t>
        </w:r>
      </w:smartTag>
      <w:r>
        <w:rPr>
          <w:rFonts w:ascii="Verdana" w:hAnsi="Verdana"/>
          <w:color w:val="333333"/>
          <w:sz w:val="15"/>
          <w:szCs w:val="15"/>
        </w:rPr>
        <w:t xml:space="preserve"> при нерегулируемой его высоте, равной </w:t>
      </w:r>
      <w:smartTag w:uri="urn:schemas-microsoft-com:office:smarttags" w:element="metricconverter">
        <w:smartTagPr>
          <w:attr w:name="ProductID" w:val="725 мм"/>
        </w:smartTagPr>
        <w:r>
          <w:rPr>
            <w:rFonts w:ascii="Verdana" w:hAnsi="Verdana"/>
            <w:color w:val="333333"/>
            <w:sz w:val="15"/>
            <w:szCs w:val="15"/>
          </w:rPr>
          <w:t>725 мм</w:t>
        </w:r>
      </w:smartTag>
      <w:r>
        <w:rPr>
          <w:rFonts w:ascii="Verdana" w:hAnsi="Verdana"/>
          <w:color w:val="333333"/>
          <w:sz w:val="15"/>
          <w:szCs w:val="15"/>
        </w:rPr>
        <w:t>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10.3. Рабочий стол должен иметь пространство для ног высотой не менее </w:t>
      </w:r>
      <w:smartTag w:uri="urn:schemas-microsoft-com:office:smarttags" w:element="metricconverter">
        <w:smartTagPr>
          <w:attr w:name="ProductID" w:val="600 мм"/>
        </w:smartTagPr>
        <w:r>
          <w:rPr>
            <w:rFonts w:ascii="Verdana" w:hAnsi="Verdana"/>
            <w:color w:val="333333"/>
            <w:sz w:val="15"/>
            <w:szCs w:val="15"/>
          </w:rPr>
          <w:t>600 мм</w:t>
        </w:r>
      </w:smartTag>
      <w:r>
        <w:rPr>
          <w:rFonts w:ascii="Verdana" w:hAnsi="Verdana"/>
          <w:color w:val="333333"/>
          <w:sz w:val="15"/>
          <w:szCs w:val="15"/>
        </w:rPr>
        <w:t xml:space="preserve">, шириной - не менее </w:t>
      </w:r>
      <w:smartTag w:uri="urn:schemas-microsoft-com:office:smarttags" w:element="metricconverter">
        <w:smartTagPr>
          <w:attr w:name="ProductID" w:val="500 мм"/>
        </w:smartTagPr>
        <w:r>
          <w:rPr>
            <w:rFonts w:ascii="Verdana" w:hAnsi="Verdana"/>
            <w:color w:val="333333"/>
            <w:sz w:val="15"/>
            <w:szCs w:val="15"/>
          </w:rPr>
          <w:t>500 мм</w:t>
        </w:r>
      </w:smartTag>
      <w:r>
        <w:rPr>
          <w:rFonts w:ascii="Verdana" w:hAnsi="Verdana"/>
          <w:color w:val="333333"/>
          <w:sz w:val="15"/>
          <w:szCs w:val="15"/>
        </w:rPr>
        <w:t xml:space="preserve">, глубиной на уровне колен – не менее </w:t>
      </w:r>
      <w:smartTag w:uri="urn:schemas-microsoft-com:office:smarttags" w:element="metricconverter">
        <w:smartTagPr>
          <w:attr w:name="ProductID" w:val="450 мм"/>
        </w:smartTagPr>
        <w:r>
          <w:rPr>
            <w:rFonts w:ascii="Verdana" w:hAnsi="Verdana"/>
            <w:color w:val="333333"/>
            <w:sz w:val="15"/>
            <w:szCs w:val="15"/>
          </w:rPr>
          <w:t>450 мм</w:t>
        </w:r>
      </w:smartTag>
      <w:r>
        <w:rPr>
          <w:rFonts w:ascii="Verdana" w:hAnsi="Verdana"/>
          <w:color w:val="333333"/>
          <w:sz w:val="15"/>
          <w:szCs w:val="15"/>
        </w:rPr>
        <w:t xml:space="preserve"> и на уровне вытянутых ног - не менее </w:t>
      </w:r>
      <w:smartTag w:uri="urn:schemas-microsoft-com:office:smarttags" w:element="metricconverter">
        <w:smartTagPr>
          <w:attr w:name="ProductID" w:val="650 мм"/>
        </w:smartTagPr>
        <w:r>
          <w:rPr>
            <w:rFonts w:ascii="Verdana" w:hAnsi="Verdana"/>
            <w:color w:val="333333"/>
            <w:sz w:val="15"/>
            <w:szCs w:val="15"/>
          </w:rPr>
          <w:t>650 мм</w:t>
        </w:r>
      </w:smartTag>
      <w:r>
        <w:rPr>
          <w:rFonts w:ascii="Verdana" w:hAnsi="Verdana"/>
          <w:color w:val="333333"/>
          <w:sz w:val="15"/>
          <w:szCs w:val="15"/>
        </w:rPr>
        <w:t>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10.4. Конструкция рабочего стула должна обеспечивать: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- ширину и глубину поверхности сиденья не менее </w:t>
      </w:r>
      <w:smartTag w:uri="urn:schemas-microsoft-com:office:smarttags" w:element="metricconverter">
        <w:smartTagPr>
          <w:attr w:name="ProductID" w:val="400 мм"/>
        </w:smartTagPr>
        <w:r>
          <w:rPr>
            <w:rFonts w:ascii="Verdana" w:hAnsi="Verdana"/>
            <w:color w:val="333333"/>
            <w:sz w:val="15"/>
            <w:szCs w:val="15"/>
          </w:rPr>
          <w:t>400 мм</w:t>
        </w:r>
      </w:smartTag>
      <w:r>
        <w:rPr>
          <w:rFonts w:ascii="Verdana" w:hAnsi="Verdana"/>
          <w:color w:val="333333"/>
          <w:sz w:val="15"/>
          <w:szCs w:val="15"/>
        </w:rPr>
        <w:t>;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- поверхность сиденья с закругленным передним краем;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- регулировку высоты поверхности сиденья в пределах 400 - </w:t>
      </w:r>
      <w:smartTag w:uri="urn:schemas-microsoft-com:office:smarttags" w:element="metricconverter">
        <w:smartTagPr>
          <w:attr w:name="ProductID" w:val="550 мм"/>
        </w:smartTagPr>
        <w:r>
          <w:rPr>
            <w:rFonts w:ascii="Verdana" w:hAnsi="Verdana"/>
            <w:color w:val="333333"/>
            <w:sz w:val="15"/>
            <w:szCs w:val="15"/>
          </w:rPr>
          <w:t>550 мм</w:t>
        </w:r>
      </w:smartTag>
      <w:r>
        <w:rPr>
          <w:rFonts w:ascii="Verdana" w:hAnsi="Verdana"/>
          <w:color w:val="333333"/>
          <w:sz w:val="15"/>
          <w:szCs w:val="15"/>
        </w:rPr>
        <w:t xml:space="preserve"> и углам наклона вперед до 15 град, и назад до 5 град.;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- высоту опорной поверхности спинки 300 +-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Verdana" w:hAnsi="Verdana"/>
            <w:color w:val="333333"/>
            <w:sz w:val="15"/>
            <w:szCs w:val="15"/>
          </w:rPr>
          <w:t>20 мм</w:t>
        </w:r>
      </w:smartTag>
      <w:r>
        <w:rPr>
          <w:rFonts w:ascii="Verdana" w:hAnsi="Verdana"/>
          <w:color w:val="333333"/>
          <w:sz w:val="15"/>
          <w:szCs w:val="15"/>
        </w:rPr>
        <w:t xml:space="preserve">, ширину - не менее </w:t>
      </w:r>
      <w:smartTag w:uri="urn:schemas-microsoft-com:office:smarttags" w:element="metricconverter">
        <w:smartTagPr>
          <w:attr w:name="ProductID" w:val="380 мм"/>
        </w:smartTagPr>
        <w:r>
          <w:rPr>
            <w:rFonts w:ascii="Verdana" w:hAnsi="Verdana"/>
            <w:color w:val="333333"/>
            <w:sz w:val="15"/>
            <w:szCs w:val="15"/>
          </w:rPr>
          <w:t>380 мм</w:t>
        </w:r>
      </w:smartTag>
      <w:r>
        <w:rPr>
          <w:rFonts w:ascii="Verdana" w:hAnsi="Verdana"/>
          <w:color w:val="333333"/>
          <w:sz w:val="15"/>
          <w:szCs w:val="15"/>
        </w:rPr>
        <w:t xml:space="preserve"> и радиус кривизны горизонтальной плоскости - </w:t>
      </w:r>
      <w:smartTag w:uri="urn:schemas-microsoft-com:office:smarttags" w:element="metricconverter">
        <w:smartTagPr>
          <w:attr w:name="ProductID" w:val="400 мм"/>
        </w:smartTagPr>
        <w:r>
          <w:rPr>
            <w:rFonts w:ascii="Verdana" w:hAnsi="Verdana"/>
            <w:color w:val="333333"/>
            <w:sz w:val="15"/>
            <w:szCs w:val="15"/>
          </w:rPr>
          <w:t>400 мм</w:t>
        </w:r>
      </w:smartTag>
      <w:r>
        <w:rPr>
          <w:rFonts w:ascii="Verdana" w:hAnsi="Verdana"/>
          <w:color w:val="333333"/>
          <w:sz w:val="15"/>
          <w:szCs w:val="15"/>
        </w:rPr>
        <w:t>;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- угол наклона спинки в вертикальной плоскости в пределах +-30 градусов;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- регулировку расстояния спинки от переднего края сиденья в пределах 260 - </w:t>
      </w:r>
      <w:smartTag w:uri="urn:schemas-microsoft-com:office:smarttags" w:element="metricconverter">
        <w:smartTagPr>
          <w:attr w:name="ProductID" w:val="400 мм"/>
        </w:smartTagPr>
        <w:r>
          <w:rPr>
            <w:rFonts w:ascii="Verdana" w:hAnsi="Verdana"/>
            <w:color w:val="333333"/>
            <w:sz w:val="15"/>
            <w:szCs w:val="15"/>
          </w:rPr>
          <w:t>400 мм</w:t>
        </w:r>
      </w:smartTag>
      <w:r>
        <w:rPr>
          <w:rFonts w:ascii="Verdana" w:hAnsi="Verdana"/>
          <w:color w:val="333333"/>
          <w:sz w:val="15"/>
          <w:szCs w:val="15"/>
        </w:rPr>
        <w:t>;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- стационарные или съемные подлокотники длиной не менее </w:t>
      </w:r>
      <w:smartTag w:uri="urn:schemas-microsoft-com:office:smarttags" w:element="metricconverter">
        <w:smartTagPr>
          <w:attr w:name="ProductID" w:val="250 мм"/>
        </w:smartTagPr>
        <w:r>
          <w:rPr>
            <w:rFonts w:ascii="Verdana" w:hAnsi="Verdana"/>
            <w:color w:val="333333"/>
            <w:sz w:val="15"/>
            <w:szCs w:val="15"/>
          </w:rPr>
          <w:t>250 мм</w:t>
        </w:r>
      </w:smartTag>
      <w:r>
        <w:rPr>
          <w:rFonts w:ascii="Verdana" w:hAnsi="Verdana"/>
          <w:color w:val="333333"/>
          <w:sz w:val="15"/>
          <w:szCs w:val="15"/>
        </w:rPr>
        <w:t xml:space="preserve"> и шириной - 50 - </w:t>
      </w:r>
      <w:smartTag w:uri="urn:schemas-microsoft-com:office:smarttags" w:element="metricconverter">
        <w:smartTagPr>
          <w:attr w:name="ProductID" w:val="70 мм"/>
        </w:smartTagPr>
        <w:r>
          <w:rPr>
            <w:rFonts w:ascii="Verdana" w:hAnsi="Verdana"/>
            <w:color w:val="333333"/>
            <w:sz w:val="15"/>
            <w:szCs w:val="15"/>
          </w:rPr>
          <w:t>70 мм</w:t>
        </w:r>
      </w:smartTag>
      <w:r>
        <w:rPr>
          <w:rFonts w:ascii="Verdana" w:hAnsi="Verdana"/>
          <w:color w:val="333333"/>
          <w:sz w:val="15"/>
          <w:szCs w:val="15"/>
        </w:rPr>
        <w:t>;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- регулировку подлокотников по высоте над сиденьем в пределах 230 +-</w:t>
      </w:r>
      <w:smartTag w:uri="urn:schemas-microsoft-com:office:smarttags" w:element="metricconverter">
        <w:smartTagPr>
          <w:attr w:name="ProductID" w:val="30 мм"/>
        </w:smartTagPr>
        <w:r>
          <w:rPr>
            <w:rFonts w:ascii="Verdana" w:hAnsi="Verdana"/>
            <w:color w:val="333333"/>
            <w:sz w:val="15"/>
            <w:szCs w:val="15"/>
          </w:rPr>
          <w:t>30 мм</w:t>
        </w:r>
      </w:smartTag>
      <w:r>
        <w:rPr>
          <w:rFonts w:ascii="Verdana" w:hAnsi="Verdana"/>
          <w:color w:val="333333"/>
          <w:sz w:val="15"/>
          <w:szCs w:val="15"/>
        </w:rPr>
        <w:t xml:space="preserve"> и внутреннего расстояния между подлокотниками в пределах 350 </w:t>
      </w:r>
      <w:smartTag w:uri="urn:schemas-microsoft-com:office:smarttags" w:element="metricconverter">
        <w:smartTagPr>
          <w:attr w:name="ProductID" w:val="-500 мм"/>
        </w:smartTagPr>
        <w:r>
          <w:rPr>
            <w:rFonts w:ascii="Verdana" w:hAnsi="Verdana"/>
            <w:color w:val="333333"/>
            <w:sz w:val="15"/>
            <w:szCs w:val="15"/>
          </w:rPr>
          <w:t>-500 мм</w:t>
        </w:r>
      </w:smartTag>
      <w:r>
        <w:rPr>
          <w:rFonts w:ascii="Verdana" w:hAnsi="Verdana"/>
          <w:color w:val="333333"/>
          <w:sz w:val="15"/>
          <w:szCs w:val="15"/>
        </w:rPr>
        <w:t>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10.5. Рабочее место пользователя ПЭВМ следует оборудовать подставкой для ног, имеющей ширину не менее </w:t>
      </w:r>
      <w:smartTag w:uri="urn:schemas-microsoft-com:office:smarttags" w:element="metricconverter">
        <w:smartTagPr>
          <w:attr w:name="ProductID" w:val="300 мм"/>
        </w:smartTagPr>
        <w:r>
          <w:rPr>
            <w:rFonts w:ascii="Verdana" w:hAnsi="Verdana"/>
            <w:color w:val="333333"/>
            <w:sz w:val="15"/>
            <w:szCs w:val="15"/>
          </w:rPr>
          <w:t>300 мм</w:t>
        </w:r>
      </w:smartTag>
      <w:r>
        <w:rPr>
          <w:rFonts w:ascii="Verdana" w:hAnsi="Verdana"/>
          <w:color w:val="333333"/>
          <w:sz w:val="15"/>
          <w:szCs w:val="15"/>
        </w:rPr>
        <w:t xml:space="preserve">, глубину не менее </w:t>
      </w:r>
      <w:smartTag w:uri="urn:schemas-microsoft-com:office:smarttags" w:element="metricconverter">
        <w:smartTagPr>
          <w:attr w:name="ProductID" w:val="400 мм"/>
        </w:smartTagPr>
        <w:r>
          <w:rPr>
            <w:rFonts w:ascii="Verdana" w:hAnsi="Verdana"/>
            <w:color w:val="333333"/>
            <w:sz w:val="15"/>
            <w:szCs w:val="15"/>
          </w:rPr>
          <w:t>400 мм</w:t>
        </w:r>
      </w:smartTag>
      <w:r>
        <w:rPr>
          <w:rFonts w:ascii="Verdana" w:hAnsi="Verdana"/>
          <w:color w:val="333333"/>
          <w:sz w:val="15"/>
          <w:szCs w:val="15"/>
        </w:rPr>
        <w:t xml:space="preserve">, регулировку по высоте в пределах до </w:t>
      </w:r>
      <w:smartTag w:uri="urn:schemas-microsoft-com:office:smarttags" w:element="metricconverter">
        <w:smartTagPr>
          <w:attr w:name="ProductID" w:val="150 мм"/>
        </w:smartTagPr>
        <w:r>
          <w:rPr>
            <w:rFonts w:ascii="Verdana" w:hAnsi="Verdana"/>
            <w:color w:val="333333"/>
            <w:sz w:val="15"/>
            <w:szCs w:val="15"/>
          </w:rPr>
          <w:t>150 мм</w:t>
        </w:r>
      </w:smartTag>
      <w:r>
        <w:rPr>
          <w:rFonts w:ascii="Verdana" w:hAnsi="Verdana"/>
          <w:color w:val="333333"/>
          <w:sz w:val="15"/>
          <w:szCs w:val="15"/>
        </w:rPr>
        <w:t xml:space="preserve"> и по углу наклона опорной поверхности подставки до 20°. Поверхность подставки должна быть рифленой и иметь по переднему краю бортик высотой </w:t>
      </w:r>
      <w:smartTag w:uri="urn:schemas-microsoft-com:office:smarttags" w:element="metricconverter">
        <w:smartTagPr>
          <w:attr w:name="ProductID" w:val="10 мм"/>
        </w:smartTagPr>
        <w:r>
          <w:rPr>
            <w:rFonts w:ascii="Verdana" w:hAnsi="Verdana"/>
            <w:color w:val="333333"/>
            <w:sz w:val="15"/>
            <w:szCs w:val="15"/>
          </w:rPr>
          <w:t>10 мм</w:t>
        </w:r>
      </w:smartTag>
      <w:r>
        <w:rPr>
          <w:rFonts w:ascii="Verdana" w:hAnsi="Verdana"/>
          <w:color w:val="333333"/>
          <w:sz w:val="15"/>
          <w:szCs w:val="15"/>
        </w:rPr>
        <w:t>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10.6. Клавиатуру следует располагать на поверхности стола на расстоянии 100 - </w:t>
      </w:r>
      <w:smartTag w:uri="urn:schemas-microsoft-com:office:smarttags" w:element="metricconverter">
        <w:smartTagPr>
          <w:attr w:name="ProductID" w:val="300 мм"/>
        </w:smartTagPr>
        <w:r>
          <w:rPr>
            <w:rFonts w:ascii="Verdana" w:hAnsi="Verdana"/>
            <w:color w:val="333333"/>
            <w:sz w:val="15"/>
            <w:szCs w:val="15"/>
          </w:rPr>
          <w:t>300 мм</w:t>
        </w:r>
      </w:smartTag>
      <w:r>
        <w:rPr>
          <w:rFonts w:ascii="Verdana" w:hAnsi="Verdana"/>
          <w:color w:val="333333"/>
          <w:sz w:val="15"/>
          <w:szCs w:val="15"/>
        </w:rPr>
        <w:t xml:space="preserve"> от края, обращенного к пользователю или на специальной, регулируемой по высоте рабочей поверхности, отделенной от основной столешницы.</w:t>
      </w:r>
    </w:p>
    <w:p w:rsidR="003E597A" w:rsidRDefault="003E597A" w:rsidP="003E597A">
      <w:pPr>
        <w:pStyle w:val="align-justify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 xml:space="preserve">XI. Требования к организации и оборудованию рабочих мест с ПЭВМ для обучающихся в общеобразовательных учреждениях и учреждениях начального и высшего профессионального образования 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11.1. Помещения для занятий оборудуются одноместными столами, предназначенными для работы с ПЭВМ.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11.2 Конструкция одноместного стола для работы с ПЭВМ должна предусматривать: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lastRenderedPageBreak/>
        <w:t xml:space="preserve">- две раздельные поверхности: одна горизонтальная для размещения ПЭВМ с плавной регулировкой по высоте в пределах 520 - </w:t>
      </w:r>
      <w:smartTag w:uri="urn:schemas-microsoft-com:office:smarttags" w:element="metricconverter">
        <w:smartTagPr>
          <w:attr w:name="ProductID" w:val="760 мм"/>
        </w:smartTagPr>
        <w:r>
          <w:rPr>
            <w:rFonts w:ascii="Verdana" w:hAnsi="Verdana"/>
            <w:color w:val="333333"/>
            <w:sz w:val="15"/>
            <w:szCs w:val="15"/>
          </w:rPr>
          <w:t>760 мм</w:t>
        </w:r>
      </w:smartTag>
      <w:r>
        <w:rPr>
          <w:rFonts w:ascii="Verdana" w:hAnsi="Verdana"/>
          <w:color w:val="333333"/>
          <w:sz w:val="15"/>
          <w:szCs w:val="15"/>
        </w:rPr>
        <w:t xml:space="preserve"> и вторая - для клавиатуры с плавной регулировкой по высоте и углу наклона от 0 до 15 градусов с надежной фиксацией в оптимальном рабочем положении (12 – 15 градусов);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- ширину поверхностей для ВДТ и клавиатуры не менее </w:t>
      </w:r>
      <w:smartTag w:uri="urn:schemas-microsoft-com:office:smarttags" w:element="metricconverter">
        <w:smartTagPr>
          <w:attr w:name="ProductID" w:val="750 мм"/>
        </w:smartTagPr>
        <w:r>
          <w:rPr>
            <w:rFonts w:ascii="Verdana" w:hAnsi="Verdana"/>
            <w:color w:val="333333"/>
            <w:sz w:val="15"/>
            <w:szCs w:val="15"/>
          </w:rPr>
          <w:t>750 мм</w:t>
        </w:r>
      </w:smartTag>
      <w:r>
        <w:rPr>
          <w:rFonts w:ascii="Verdana" w:hAnsi="Verdana"/>
          <w:color w:val="333333"/>
          <w:sz w:val="15"/>
          <w:szCs w:val="15"/>
        </w:rPr>
        <w:t xml:space="preserve"> (ширина обеих поверхностей должна быть одинаковой) и глубину не менее </w:t>
      </w:r>
      <w:smartTag w:uri="urn:schemas-microsoft-com:office:smarttags" w:element="metricconverter">
        <w:smartTagPr>
          <w:attr w:name="ProductID" w:val="550 мм"/>
        </w:smartTagPr>
        <w:r>
          <w:rPr>
            <w:rFonts w:ascii="Verdana" w:hAnsi="Verdana"/>
            <w:color w:val="333333"/>
            <w:sz w:val="15"/>
            <w:szCs w:val="15"/>
          </w:rPr>
          <w:t>550 мм</w:t>
        </w:r>
      </w:smartTag>
      <w:r>
        <w:rPr>
          <w:rFonts w:ascii="Verdana" w:hAnsi="Verdana"/>
          <w:color w:val="333333"/>
          <w:sz w:val="15"/>
          <w:szCs w:val="15"/>
        </w:rPr>
        <w:t>;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- опору поверхностей для ПЭВМ или ВДТ и для клавиатуры на стояк, в котором должны находится провода электропитания и кабель локальной сети.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Основание стояка следует совмещать с подставкой для ног;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- отсутствие ящиков;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- увеличение ширины поверхностей до </w:t>
      </w:r>
      <w:smartTag w:uri="urn:schemas-microsoft-com:office:smarttags" w:element="metricconverter">
        <w:smartTagPr>
          <w:attr w:name="ProductID" w:val="1200 мм"/>
        </w:smartTagPr>
        <w:r>
          <w:rPr>
            <w:rFonts w:ascii="Verdana" w:hAnsi="Verdana"/>
            <w:color w:val="333333"/>
            <w:sz w:val="15"/>
            <w:szCs w:val="15"/>
          </w:rPr>
          <w:t>1200 мм</w:t>
        </w:r>
      </w:smartTag>
      <w:r>
        <w:rPr>
          <w:rFonts w:ascii="Verdana" w:hAnsi="Verdana"/>
          <w:color w:val="333333"/>
          <w:sz w:val="15"/>
          <w:szCs w:val="15"/>
        </w:rPr>
        <w:t xml:space="preserve"> при оснащении рабочего места принтером.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11.3. Высота края стола, обращенного к работающему с ПЭВМ, и высота пространства для ног должны соответствовать росту обучающихся в обуви (Приложение 4).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11.4. При наличии высокого стола и стула, несоответствующего росту обучающихся, следует использовать регулируемую по высоте подставку для ног.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11.5. Линия взора должна быть перпендикулярна центру экрана и оптимальное ее отклонение от перпендикуляра, проходящего через центр экрана в вертикальной плоскости, не должно превышать +-5 градусов, допустимое +-10 градусов.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11.6. Рабочее место с ПЭВМ оборудуют стулом, основные размеры которого должны соответствовать росту обучающихся в обуви (Приложение 5).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XII. Требования к оборудованию и организации помещений с ПЭВМ для детей дошкольного возраста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12.1. Помещения для занятий оборудуются одноместными столами, предназначенными для работы с ПЭВМ.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12.2. Конструкция одноместного стола должна состоять из двух частей или столов, соединенных вместе: на одной </w:t>
      </w:r>
      <w:proofErr w:type="gramStart"/>
      <w:r>
        <w:rPr>
          <w:rFonts w:ascii="Verdana" w:hAnsi="Verdana"/>
          <w:color w:val="333333"/>
          <w:sz w:val="15"/>
          <w:szCs w:val="15"/>
        </w:rPr>
        <w:t>поверхности стола</w:t>
      </w:r>
      <w:proofErr w:type="gramEnd"/>
      <w:r>
        <w:rPr>
          <w:rFonts w:ascii="Verdana" w:hAnsi="Verdana"/>
          <w:color w:val="333333"/>
          <w:sz w:val="15"/>
          <w:szCs w:val="15"/>
        </w:rPr>
        <w:t xml:space="preserve"> располагается ВДТ, на другой - клавиатура.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Конструкция стола для размещения ПЭВМ должна предусматривать: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- плавную и легкую регулировку по высоте с надежной фиксацией горизонтальной поверхности для видеомонитора в пределах 460 - </w:t>
      </w:r>
      <w:smartTag w:uri="urn:schemas-microsoft-com:office:smarttags" w:element="metricconverter">
        <w:smartTagPr>
          <w:attr w:name="ProductID" w:val="520 мм"/>
        </w:smartTagPr>
        <w:r>
          <w:rPr>
            <w:rFonts w:ascii="Verdana" w:hAnsi="Verdana"/>
            <w:color w:val="333333"/>
            <w:sz w:val="15"/>
            <w:szCs w:val="15"/>
          </w:rPr>
          <w:t>520 мм</w:t>
        </w:r>
      </w:smartTag>
      <w:r>
        <w:rPr>
          <w:rFonts w:ascii="Verdana" w:hAnsi="Verdana"/>
          <w:color w:val="333333"/>
          <w:sz w:val="15"/>
          <w:szCs w:val="15"/>
        </w:rPr>
        <w:t xml:space="preserve"> при глубине не менее </w:t>
      </w:r>
      <w:smartTag w:uri="urn:schemas-microsoft-com:office:smarttags" w:element="metricconverter">
        <w:smartTagPr>
          <w:attr w:name="ProductID" w:val="550 мм"/>
        </w:smartTagPr>
        <w:r>
          <w:rPr>
            <w:rFonts w:ascii="Verdana" w:hAnsi="Verdana"/>
            <w:color w:val="333333"/>
            <w:sz w:val="15"/>
            <w:szCs w:val="15"/>
          </w:rPr>
          <w:t>550 мм</w:t>
        </w:r>
      </w:smartTag>
      <w:r>
        <w:rPr>
          <w:rFonts w:ascii="Verdana" w:hAnsi="Verdana"/>
          <w:color w:val="333333"/>
          <w:sz w:val="15"/>
          <w:szCs w:val="15"/>
        </w:rPr>
        <w:t xml:space="preserve"> и ширине - не менее </w:t>
      </w:r>
      <w:smartTag w:uri="urn:schemas-microsoft-com:office:smarttags" w:element="metricconverter">
        <w:smartTagPr>
          <w:attr w:name="ProductID" w:val="600 мм"/>
        </w:smartTagPr>
        <w:r>
          <w:rPr>
            <w:rFonts w:ascii="Verdana" w:hAnsi="Verdana"/>
            <w:color w:val="333333"/>
            <w:sz w:val="15"/>
            <w:szCs w:val="15"/>
          </w:rPr>
          <w:t>600 мм</w:t>
        </w:r>
      </w:smartTag>
      <w:r>
        <w:rPr>
          <w:rFonts w:ascii="Verdana" w:hAnsi="Verdana"/>
          <w:color w:val="333333"/>
          <w:sz w:val="15"/>
          <w:szCs w:val="15"/>
        </w:rPr>
        <w:t>;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- возможность плавного и легкого изменения угла наклона поверхности для клавиатуры от 0 до 10 град, с надежной фиксацией;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- ширина и глубина поверхности под клавиатуру должна быть не менее </w:t>
      </w:r>
      <w:smartTag w:uri="urn:schemas-microsoft-com:office:smarttags" w:element="metricconverter">
        <w:smartTagPr>
          <w:attr w:name="ProductID" w:val="600 мм"/>
        </w:smartTagPr>
        <w:r>
          <w:rPr>
            <w:rFonts w:ascii="Verdana" w:hAnsi="Verdana"/>
            <w:color w:val="333333"/>
            <w:sz w:val="15"/>
            <w:szCs w:val="15"/>
          </w:rPr>
          <w:t>600 мм</w:t>
        </w:r>
      </w:smartTag>
      <w:r>
        <w:rPr>
          <w:rFonts w:ascii="Verdana" w:hAnsi="Verdana"/>
          <w:color w:val="333333"/>
          <w:sz w:val="15"/>
          <w:szCs w:val="15"/>
        </w:rPr>
        <w:t>;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- ровную без углублений поверхность стола для клавиатуры;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- отсутствие ящиков;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- пространство для ног под столом над полом не менее </w:t>
      </w:r>
      <w:smartTag w:uri="urn:schemas-microsoft-com:office:smarttags" w:element="metricconverter">
        <w:smartTagPr>
          <w:attr w:name="ProductID" w:val="400 мм"/>
        </w:smartTagPr>
        <w:r>
          <w:rPr>
            <w:rFonts w:ascii="Verdana" w:hAnsi="Verdana"/>
            <w:color w:val="333333"/>
            <w:sz w:val="15"/>
            <w:szCs w:val="15"/>
          </w:rPr>
          <w:t>400 мм</w:t>
        </w:r>
      </w:smartTag>
      <w:r>
        <w:rPr>
          <w:rFonts w:ascii="Verdana" w:hAnsi="Verdana"/>
          <w:color w:val="333333"/>
          <w:sz w:val="15"/>
          <w:szCs w:val="15"/>
        </w:rPr>
        <w:t>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Ширина определяется конструкцией стола.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12.3. Размеры стульев для занятий приведены в Приложении 5. Замена стульев табуретками или скамейками не допускается.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12.4. Поверхность сиденья стула должна легко поддаваться дезинфекции.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XIII. Требования к организации медицинского обслуживания пользователей ПЭВМ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13.1. Лица, работающие с ПЭВМ более 50% рабочего времени (профессионально связанные с эксплуатацией ПЭВМ), должны проходить обязательные предварительные при поступлении на работу и периодические медицинские осмотры в установленном порядке.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lastRenderedPageBreak/>
        <w:t>13.2. Женщины со времени установления беременности переводятся на работы, не связанные с использованием ПЭВМ, или для них ограничивается время работы с ПЭВМ (не более 3-х часов за рабочую смену) при условии соблюдения гигиенических требований, установленных настоящими санитарными правилами. Трудоустройство беременных женщин следует осуществлять в соответствии с законодательством Российской Федерации.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13.3. Медицинское освидетельствование студентов высших учебных заведений, учащихся средних специальных учебных заведений, детей дошкольного и школьного возраста на предмет установления противопоказаний к работе с ПЭВМ проводится в установленном порядке.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XIV. Требования к проведению государственного санитарно-эпидемиологического надзора и производственного контроля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14.1. Государственный санитарно-эпидемиологический надзор за производством и эксплуатацией ПЭВМ осуществляется в соответствии с настоящими Санитарными правилами.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14.2. Не допускается реализация и эксплуатация на территории Российской Федерации типов ПЭВМ, не имеющих санитарно-эпидемиологического заключения.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14.3. Инструментальный контроль за соблюдением требований настоящих Санитарных правил осуществляется в соответствии с действующей нормативной документацией.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14.4. Производственный контроль за соблюдением санитарных правил осуществляется производителем и поставщиком ПЭВМ, а также предприятиями и организациями, эксплуатирующими ПЭВМ в установленном порядке, в соответствии с действующими санитарными правилами и другими нормативными документами.</w:t>
      </w:r>
    </w:p>
    <w:p w:rsidR="003E597A" w:rsidRDefault="003E597A" w:rsidP="003E597A">
      <w:pPr>
        <w:pStyle w:val="align-right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Главный государственный</w:t>
      </w:r>
    </w:p>
    <w:p w:rsidR="003E597A" w:rsidRDefault="003E597A" w:rsidP="003E597A">
      <w:pPr>
        <w:pStyle w:val="align-right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санитарный врач</w:t>
      </w:r>
    </w:p>
    <w:p w:rsidR="003E597A" w:rsidRDefault="003E597A" w:rsidP="003E597A">
      <w:pPr>
        <w:pStyle w:val="align-right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Российской Федерации</w:t>
      </w:r>
    </w:p>
    <w:p w:rsidR="003E597A" w:rsidRDefault="003E597A" w:rsidP="003E597A">
      <w:pPr>
        <w:pStyle w:val="align-right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Первый заместитель</w:t>
      </w:r>
    </w:p>
    <w:p w:rsidR="003E597A" w:rsidRDefault="003E597A" w:rsidP="003E597A">
      <w:pPr>
        <w:pStyle w:val="align-right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Министра здравоохранения</w:t>
      </w:r>
    </w:p>
    <w:p w:rsidR="003E597A" w:rsidRDefault="003E597A" w:rsidP="003E597A">
      <w:pPr>
        <w:pStyle w:val="align-right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Российской Федерации Г.Г.Онищенко</w:t>
      </w:r>
    </w:p>
    <w:p w:rsidR="003E597A" w:rsidRDefault="003E597A" w:rsidP="003E597A">
      <w:pPr>
        <w:pStyle w:val="align-center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Приложение 1</w:t>
      </w:r>
    </w:p>
    <w:p w:rsidR="003E597A" w:rsidRDefault="003E597A" w:rsidP="003E597A">
      <w:pPr>
        <w:pStyle w:val="align-center1"/>
        <w:rPr>
          <w:rFonts w:ascii="Verdana" w:hAnsi="Verdana"/>
          <w:b/>
          <w:bCs/>
          <w:color w:val="333333"/>
          <w:sz w:val="15"/>
          <w:szCs w:val="15"/>
        </w:rPr>
      </w:pPr>
      <w:proofErr w:type="gramStart"/>
      <w:r>
        <w:rPr>
          <w:rFonts w:ascii="Verdana" w:hAnsi="Verdana"/>
          <w:b/>
          <w:bCs/>
          <w:color w:val="333333"/>
          <w:sz w:val="15"/>
          <w:szCs w:val="15"/>
        </w:rPr>
        <w:t>к СанПиН</w:t>
      </w:r>
      <w:proofErr w:type="gramEnd"/>
      <w:r>
        <w:rPr>
          <w:rFonts w:ascii="Verdana" w:hAnsi="Verdana"/>
          <w:b/>
          <w:bCs/>
          <w:color w:val="333333"/>
          <w:sz w:val="15"/>
          <w:szCs w:val="15"/>
        </w:rPr>
        <w:t xml:space="preserve"> 2.2.2/2.4.1340-03</w:t>
      </w:r>
    </w:p>
    <w:p w:rsidR="003E597A" w:rsidRDefault="003E597A" w:rsidP="003E597A">
      <w:pPr>
        <w:pStyle w:val="align-center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Перечень продукции и контролируемые гигиенические параметры</w:t>
      </w:r>
    </w:p>
    <w:p w:rsidR="003E597A" w:rsidRDefault="003E597A" w:rsidP="003E597A">
      <w:pPr>
        <w:pStyle w:val="align-right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Таблица 1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3"/>
        <w:gridCol w:w="3734"/>
        <w:gridCol w:w="1103"/>
        <w:gridCol w:w="3922"/>
      </w:tblGrid>
      <w:tr w:rsidR="003E597A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N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Вид продукции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Код ОКП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Контролируемые гигиенические параметры</w:t>
            </w:r>
          </w:p>
        </w:tc>
      </w:tr>
      <w:tr w:rsidR="003E597A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Машины вычислительные электронные цифровые, машины вычислительные электронные цифровые персональные (включая портативные ЭВМ)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40 1300, 40 1350, 40 1370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Уровни электромагнитных полей (ЭМП), акустического шума, концентрация вредных веществ в воздухе, визуальные показатели ВДТ, мягкое рентгеновское излучение*</w:t>
            </w:r>
          </w:p>
        </w:tc>
      </w:tr>
      <w:tr w:rsidR="003E597A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2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Устройства периферийные: принтеры, сканеры, модемы, сетевые устройства, блоки бесперебойного питания и т.д.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40 3000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Уровни ЭМП, акустического шума, концентрация вредных веществ в воздухе</w:t>
            </w:r>
          </w:p>
        </w:tc>
      </w:tr>
      <w:tr w:rsidR="003E597A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3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Устройства отображения информации (</w:t>
            </w:r>
            <w:proofErr w:type="spellStart"/>
            <w:r>
              <w:rPr>
                <w:rFonts w:ascii="Verdana" w:hAnsi="Verdana"/>
                <w:color w:val="333333"/>
                <w:sz w:val="15"/>
                <w:szCs w:val="15"/>
              </w:rPr>
              <w:t>видеодисплейные</w:t>
            </w:r>
            <w:proofErr w:type="spellEnd"/>
            <w:r>
              <w:rPr>
                <w:rFonts w:ascii="Verdana" w:hAnsi="Verdana"/>
                <w:color w:val="333333"/>
                <w:sz w:val="15"/>
                <w:szCs w:val="15"/>
              </w:rPr>
              <w:t xml:space="preserve"> терминалы)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40 3200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Уровни ЭМП, визуальные показатели, концентрация вредных веществ в воздухе, мягкое рентгеновское излучение*</w:t>
            </w:r>
          </w:p>
        </w:tc>
      </w:tr>
      <w:tr w:rsidR="003E597A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4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Автоматы игровые с использованием ПЭВМ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96 8575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Уровни ЭМП, акустического шума, концентрация вредных веществ в воздухе, визуальные показатели ВДТ, мягкое рентгеновское излучение*</w:t>
            </w:r>
          </w:p>
        </w:tc>
      </w:tr>
    </w:tbl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* Контроль мягкого рентгеновского излучения осуществляется только для </w:t>
      </w:r>
      <w:proofErr w:type="spellStart"/>
      <w:r>
        <w:rPr>
          <w:rFonts w:ascii="Verdana" w:hAnsi="Verdana"/>
          <w:color w:val="333333"/>
          <w:sz w:val="15"/>
          <w:szCs w:val="15"/>
        </w:rPr>
        <w:t>видеодисплейных</w:t>
      </w:r>
      <w:proofErr w:type="spellEnd"/>
      <w:r>
        <w:rPr>
          <w:rFonts w:ascii="Verdana" w:hAnsi="Verdana"/>
          <w:color w:val="333333"/>
          <w:sz w:val="15"/>
          <w:szCs w:val="15"/>
        </w:rPr>
        <w:t xml:space="preserve"> терминалов с использованием электронно-лучевых трубок.</w:t>
      </w:r>
    </w:p>
    <w:p w:rsidR="003E597A" w:rsidRDefault="003E597A" w:rsidP="003E597A">
      <w:pPr>
        <w:pStyle w:val="align-center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lastRenderedPageBreak/>
        <w:t>Допустимые значения уровней звукового давления в октавных полосах частот</w:t>
      </w:r>
    </w:p>
    <w:p w:rsidR="003E597A" w:rsidRDefault="003E597A" w:rsidP="003E597A">
      <w:pPr>
        <w:pStyle w:val="align-center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и уровня звука, создаваемого ПЭВМ</w:t>
      </w:r>
    </w:p>
    <w:p w:rsidR="003E597A" w:rsidRDefault="003E597A" w:rsidP="003E597A">
      <w:pPr>
        <w:pStyle w:val="align-right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Таблица 2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9"/>
        <w:gridCol w:w="912"/>
        <w:gridCol w:w="913"/>
        <w:gridCol w:w="913"/>
        <w:gridCol w:w="913"/>
        <w:gridCol w:w="913"/>
        <w:gridCol w:w="913"/>
        <w:gridCol w:w="913"/>
        <w:gridCol w:w="913"/>
        <w:gridCol w:w="920"/>
      </w:tblGrid>
      <w:tr w:rsidR="003E597A">
        <w:trPr>
          <w:tblCellSpacing w:w="7" w:type="dxa"/>
        </w:trPr>
        <w:tc>
          <w:tcPr>
            <w:tcW w:w="44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Уровни звукового давления в октавных полосах со среднегеометрическими частотами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 xml:space="preserve">Уровни звука в </w:t>
            </w:r>
            <w:proofErr w:type="spellStart"/>
            <w:r>
              <w:rPr>
                <w:rFonts w:ascii="Verdana" w:hAnsi="Verdana"/>
                <w:color w:val="333333"/>
                <w:sz w:val="15"/>
                <w:szCs w:val="15"/>
              </w:rPr>
              <w:t>дБА</w:t>
            </w:r>
            <w:proofErr w:type="spellEnd"/>
          </w:p>
        </w:tc>
      </w:tr>
      <w:tr w:rsidR="003E597A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31,5 Гц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63 Гц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125 Гц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250 Гц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500 Гц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1000 Гц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2000 Гц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4000 Гц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8000 Гц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97A" w:rsidRDefault="003E597A">
            <w:pPr>
              <w:rPr>
                <w:rFonts w:ascii="Verdana" w:hAnsi="Verdana"/>
                <w:color w:val="333333"/>
                <w:sz w:val="15"/>
                <w:szCs w:val="15"/>
              </w:rPr>
            </w:pPr>
          </w:p>
        </w:tc>
      </w:tr>
      <w:tr w:rsidR="003E597A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86 дБ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71 дБ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61 дБ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54 дБ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49 дБ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45 дБ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42 дБ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40 дБ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38 дБ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50</w:t>
            </w:r>
          </w:p>
        </w:tc>
      </w:tr>
    </w:tbl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Измерение уровня звука и уровней звукового давления проводится на расстоянии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Verdana" w:hAnsi="Verdana"/>
            <w:color w:val="333333"/>
            <w:sz w:val="15"/>
            <w:szCs w:val="15"/>
          </w:rPr>
          <w:t>50 см</w:t>
        </w:r>
      </w:smartTag>
      <w:r>
        <w:rPr>
          <w:rFonts w:ascii="Verdana" w:hAnsi="Verdana"/>
          <w:color w:val="333333"/>
          <w:sz w:val="15"/>
          <w:szCs w:val="15"/>
        </w:rPr>
        <w:t xml:space="preserve"> от поверхности оборудования и на высоте расположения источника(ков) звука.</w:t>
      </w:r>
    </w:p>
    <w:p w:rsidR="003E597A" w:rsidRDefault="003E597A" w:rsidP="003E597A">
      <w:pPr>
        <w:pStyle w:val="align-center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Временные допустимые уровни ЭМП, создаваемых ПЭВМ</w:t>
      </w:r>
    </w:p>
    <w:p w:rsidR="003E597A" w:rsidRDefault="003E597A" w:rsidP="003E597A">
      <w:pPr>
        <w:pStyle w:val="align-right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Таблица 3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 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 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19"/>
        <w:gridCol w:w="4012"/>
        <w:gridCol w:w="2111"/>
      </w:tblGrid>
      <w:tr w:rsidR="003E597A">
        <w:trPr>
          <w:tblCellSpacing w:w="7" w:type="dxa"/>
        </w:trPr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Наименование параметров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ВДУ ЭМП</w:t>
            </w:r>
          </w:p>
        </w:tc>
      </w:tr>
      <w:tr w:rsidR="003E597A">
        <w:trPr>
          <w:tblCellSpacing w:w="7" w:type="dxa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Напряженность электрического поля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в диапазоне частот 5 Гц - 2 кГц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25 В/м</w:t>
            </w:r>
          </w:p>
        </w:tc>
      </w:tr>
      <w:tr w:rsidR="003E597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97A" w:rsidRDefault="003E597A">
            <w:pPr>
              <w:rPr>
                <w:rFonts w:ascii="Verdana" w:hAnsi="Verdana"/>
                <w:color w:val="333333"/>
                <w:sz w:val="15"/>
                <w:szCs w:val="15"/>
              </w:rPr>
            </w:pP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в диапазоне частот 2 кГц - 400 кГц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2,5 В/м</w:t>
            </w:r>
          </w:p>
        </w:tc>
      </w:tr>
      <w:tr w:rsidR="003E597A">
        <w:trPr>
          <w:tblCellSpacing w:w="7" w:type="dxa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Плотность магнитного потока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в диапазоне частот 5 Гц - 2 кГц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250 нТл</w:t>
            </w:r>
          </w:p>
        </w:tc>
      </w:tr>
      <w:tr w:rsidR="003E597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97A" w:rsidRDefault="003E597A">
            <w:pPr>
              <w:rPr>
                <w:rFonts w:ascii="Verdana" w:hAnsi="Verdana"/>
                <w:color w:val="333333"/>
                <w:sz w:val="15"/>
                <w:szCs w:val="15"/>
              </w:rPr>
            </w:pP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в диапазоне частот 2 кГц - 400 кГц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25 нТл</w:t>
            </w:r>
          </w:p>
        </w:tc>
      </w:tr>
      <w:tr w:rsidR="003E597A">
        <w:trPr>
          <w:tblCellSpacing w:w="7" w:type="dxa"/>
        </w:trPr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Электростатический потенциал экрана видеомонитора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500 В</w:t>
            </w:r>
          </w:p>
        </w:tc>
      </w:tr>
    </w:tbl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 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 </w:t>
      </w:r>
    </w:p>
    <w:p w:rsidR="003E597A" w:rsidRDefault="003E597A" w:rsidP="003E597A">
      <w:pPr>
        <w:pStyle w:val="align-center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Допустимые визуальные параметры устройств отображения информации</w:t>
      </w:r>
    </w:p>
    <w:p w:rsidR="003E597A" w:rsidRDefault="003E597A" w:rsidP="003E597A">
      <w:pPr>
        <w:pStyle w:val="align-right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Таблица 4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4"/>
        <w:gridCol w:w="5920"/>
        <w:gridCol w:w="2838"/>
      </w:tblGrid>
      <w:tr w:rsidR="003E597A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N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Параметры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Допустимые значения</w:t>
            </w:r>
          </w:p>
        </w:tc>
      </w:tr>
      <w:tr w:rsidR="003E597A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Яркость белого поля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Не менее 35 кд/кв.м</w:t>
            </w:r>
          </w:p>
        </w:tc>
      </w:tr>
      <w:tr w:rsidR="003E597A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2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Неравномерность яркости рабочего поля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Не более +-20%</w:t>
            </w:r>
          </w:p>
        </w:tc>
      </w:tr>
      <w:tr w:rsidR="003E597A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3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Контрастность (для монохромного режима)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Не менее 3:1</w:t>
            </w:r>
          </w:p>
        </w:tc>
      </w:tr>
      <w:tr w:rsidR="003E597A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4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Временная нестабильность изображения (непреднамеренное изменение во времени яркости изображения на экране дисплея)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Не должна фиксироваться</w:t>
            </w:r>
          </w:p>
        </w:tc>
      </w:tr>
      <w:tr w:rsidR="003E597A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5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Пространственная нестабильность изображения (непреднамеренные изменения положения фрагментов изображения на экране)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Не более 2 х 10(-4L), где L - проектное расстояние наблюдения, мм</w:t>
            </w:r>
          </w:p>
        </w:tc>
      </w:tr>
    </w:tbl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Для дисплеев на ЭЛТ частота обновления изображения должна быть не менее 75 Гц при всех режимах разрешения экрана, гарантируемых нормативной документацией на конкретный тип дисплея и не менее 60 Гц для дисплеев на плоских дискретных экранах (жидкокристаллических, плазменных и т.п.).</w:t>
      </w:r>
    </w:p>
    <w:p w:rsidR="003E597A" w:rsidRDefault="003E597A" w:rsidP="003E597A">
      <w:pPr>
        <w:pStyle w:val="align-center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lastRenderedPageBreak/>
        <w:t>Приложение 2</w:t>
      </w:r>
    </w:p>
    <w:p w:rsidR="003E597A" w:rsidRDefault="003E597A" w:rsidP="003E597A">
      <w:pPr>
        <w:pStyle w:val="align-center1"/>
        <w:rPr>
          <w:rFonts w:ascii="Verdana" w:hAnsi="Verdana"/>
          <w:color w:val="333333"/>
          <w:sz w:val="15"/>
          <w:szCs w:val="15"/>
        </w:rPr>
      </w:pPr>
      <w:proofErr w:type="gramStart"/>
      <w:r>
        <w:rPr>
          <w:rFonts w:ascii="Verdana" w:hAnsi="Verdana"/>
          <w:b/>
          <w:bCs/>
          <w:color w:val="333333"/>
          <w:sz w:val="15"/>
          <w:szCs w:val="15"/>
        </w:rPr>
        <w:t>к СанПиН</w:t>
      </w:r>
      <w:proofErr w:type="gramEnd"/>
      <w:r>
        <w:rPr>
          <w:rFonts w:ascii="Verdana" w:hAnsi="Verdana"/>
          <w:b/>
          <w:bCs/>
          <w:color w:val="333333"/>
          <w:sz w:val="15"/>
          <w:szCs w:val="15"/>
        </w:rPr>
        <w:t xml:space="preserve"> 2.2.2/2.4.1340-03 (обязательное)</w:t>
      </w:r>
    </w:p>
    <w:p w:rsidR="003E597A" w:rsidRDefault="003E597A" w:rsidP="003E597A">
      <w:pPr>
        <w:pStyle w:val="align-center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Временные допустимые уровни ЭМП, создаваемых ПЭВМ на рабочих местах</w:t>
      </w:r>
    </w:p>
    <w:p w:rsidR="003E597A" w:rsidRDefault="003E597A" w:rsidP="003E597A">
      <w:pPr>
        <w:pStyle w:val="align-right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Таблица 1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20"/>
        <w:gridCol w:w="3739"/>
        <w:gridCol w:w="2383"/>
      </w:tblGrid>
      <w:tr w:rsidR="003E597A">
        <w:trPr>
          <w:tblCellSpacing w:w="7" w:type="dxa"/>
        </w:trPr>
        <w:tc>
          <w:tcPr>
            <w:tcW w:w="3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Наименование параметров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ВДУ</w:t>
            </w:r>
          </w:p>
        </w:tc>
      </w:tr>
      <w:tr w:rsidR="003E597A">
        <w:trPr>
          <w:tblCellSpacing w:w="7" w:type="dxa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Напряженность электрического поля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в диапазоне частот 5 Гц - 2 кГц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25 В/м</w:t>
            </w:r>
          </w:p>
        </w:tc>
      </w:tr>
      <w:tr w:rsidR="003E597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97A" w:rsidRDefault="003E597A">
            <w:pPr>
              <w:rPr>
                <w:rFonts w:ascii="Verdana" w:hAnsi="Verdana"/>
                <w:color w:val="333333"/>
                <w:sz w:val="15"/>
                <w:szCs w:val="15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в диапазоне частот 2 кГц - 400 кГц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2,5 В/м</w:t>
            </w:r>
          </w:p>
        </w:tc>
      </w:tr>
      <w:tr w:rsidR="003E597A">
        <w:trPr>
          <w:tblCellSpacing w:w="7" w:type="dxa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Плотность магнитного потока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в диапазоне частот 5 Гц - 2 кГц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250 нТл</w:t>
            </w:r>
          </w:p>
        </w:tc>
      </w:tr>
      <w:tr w:rsidR="003E597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97A" w:rsidRDefault="003E597A">
            <w:pPr>
              <w:rPr>
                <w:rFonts w:ascii="Verdana" w:hAnsi="Verdana"/>
                <w:color w:val="333333"/>
                <w:sz w:val="15"/>
                <w:szCs w:val="15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в диапазоне частот 2 кГц - 400 кГц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25 нТл</w:t>
            </w:r>
          </w:p>
        </w:tc>
      </w:tr>
      <w:tr w:rsidR="003E597A">
        <w:trPr>
          <w:tblCellSpacing w:w="7" w:type="dxa"/>
        </w:trPr>
        <w:tc>
          <w:tcPr>
            <w:tcW w:w="3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Напряженность электростатического поля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15 кВ/м</w:t>
            </w:r>
          </w:p>
        </w:tc>
      </w:tr>
    </w:tbl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 </w:t>
      </w:r>
    </w:p>
    <w:p w:rsidR="003E597A" w:rsidRDefault="003E597A" w:rsidP="003E597A">
      <w:pPr>
        <w:pStyle w:val="align-center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Оптимальные параметры микроклимата во всех типах учебных и дошкольных</w:t>
      </w:r>
    </w:p>
    <w:p w:rsidR="003E597A" w:rsidRDefault="003E597A" w:rsidP="003E597A">
      <w:pPr>
        <w:pStyle w:val="align-center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помещений с использованием ПЭВМ</w:t>
      </w:r>
    </w:p>
    <w:p w:rsidR="003E597A" w:rsidRDefault="003E597A" w:rsidP="003E597A">
      <w:pPr>
        <w:pStyle w:val="align-right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Таблица 2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18"/>
        <w:gridCol w:w="2463"/>
        <w:gridCol w:w="2463"/>
        <w:gridCol w:w="2198"/>
      </w:tblGrid>
      <w:tr w:rsidR="003E597A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Температура, С°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Относительная влажность, %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Абсолютная влажность, г/м3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Скорость движения воздуха, м/с</w:t>
            </w:r>
          </w:p>
        </w:tc>
      </w:tr>
      <w:tr w:rsidR="003E597A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19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62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&lt;0,1</w:t>
            </w:r>
          </w:p>
        </w:tc>
      </w:tr>
      <w:tr w:rsidR="003E597A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20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58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&lt;0,1</w:t>
            </w:r>
          </w:p>
        </w:tc>
      </w:tr>
      <w:tr w:rsidR="003E597A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21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55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&lt;0,1</w:t>
            </w:r>
          </w:p>
        </w:tc>
      </w:tr>
    </w:tbl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 </w:t>
      </w:r>
    </w:p>
    <w:p w:rsidR="003E597A" w:rsidRDefault="003E597A" w:rsidP="003E597A">
      <w:pPr>
        <w:pStyle w:val="align-center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Визуальные параметры ВДТ, контролируемые на рабочих местах</w:t>
      </w:r>
    </w:p>
    <w:p w:rsidR="003E597A" w:rsidRDefault="003E597A" w:rsidP="003E597A">
      <w:pPr>
        <w:pStyle w:val="align-right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Таблица 3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5"/>
        <w:gridCol w:w="5738"/>
        <w:gridCol w:w="3019"/>
      </w:tblGrid>
      <w:tr w:rsidR="003E597A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N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Параметры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Допустимые значения</w:t>
            </w:r>
          </w:p>
        </w:tc>
      </w:tr>
      <w:tr w:rsidR="003E597A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1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Яркость белого поля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Не менее 35 кд/кв.м</w:t>
            </w:r>
          </w:p>
        </w:tc>
      </w:tr>
      <w:tr w:rsidR="003E597A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2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Неравномерность яркости рабочего поля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Не более +-20%</w:t>
            </w:r>
          </w:p>
        </w:tc>
      </w:tr>
      <w:tr w:rsidR="003E597A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3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Контрастность (для монохромного режима)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Не менее 3:1</w:t>
            </w:r>
          </w:p>
        </w:tc>
      </w:tr>
      <w:tr w:rsidR="003E597A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4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Временная нестабильность изображения (мелькания)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Не должна фиксироваться</w:t>
            </w:r>
          </w:p>
        </w:tc>
      </w:tr>
      <w:tr w:rsidR="003E597A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5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Пространственная нестабильность изображения (дрожание)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Не более 2 х 10(-4L), где L - проектное расстояние наблюдения, мм</w:t>
            </w:r>
          </w:p>
        </w:tc>
      </w:tr>
    </w:tbl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 </w:t>
      </w:r>
    </w:p>
    <w:p w:rsidR="003E597A" w:rsidRDefault="003E597A" w:rsidP="003E597A">
      <w:pPr>
        <w:pStyle w:val="align-center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Приложение 3</w:t>
      </w:r>
    </w:p>
    <w:p w:rsidR="003E597A" w:rsidRDefault="003E597A" w:rsidP="003E597A">
      <w:pPr>
        <w:pStyle w:val="align-center1"/>
        <w:rPr>
          <w:rFonts w:ascii="Verdana" w:hAnsi="Verdana"/>
          <w:b/>
          <w:bCs/>
          <w:color w:val="333333"/>
          <w:sz w:val="15"/>
          <w:szCs w:val="15"/>
        </w:rPr>
      </w:pPr>
      <w:proofErr w:type="gramStart"/>
      <w:r>
        <w:rPr>
          <w:rFonts w:ascii="Verdana" w:hAnsi="Verdana"/>
          <w:b/>
          <w:bCs/>
          <w:color w:val="333333"/>
          <w:sz w:val="15"/>
          <w:szCs w:val="15"/>
        </w:rPr>
        <w:lastRenderedPageBreak/>
        <w:t>к СанПиН</w:t>
      </w:r>
      <w:proofErr w:type="gramEnd"/>
      <w:r>
        <w:rPr>
          <w:rFonts w:ascii="Verdana" w:hAnsi="Verdana"/>
          <w:b/>
          <w:bCs/>
          <w:color w:val="333333"/>
          <w:sz w:val="15"/>
          <w:szCs w:val="15"/>
        </w:rPr>
        <w:t xml:space="preserve"> 2.2.2/2.4.1340-03</w:t>
      </w:r>
    </w:p>
    <w:p w:rsidR="003E597A" w:rsidRDefault="003E597A" w:rsidP="003E597A">
      <w:pPr>
        <w:pStyle w:val="align-center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(обязательное)</w:t>
      </w:r>
    </w:p>
    <w:p w:rsidR="003E597A" w:rsidRDefault="003E597A" w:rsidP="003E597A">
      <w:pPr>
        <w:pStyle w:val="align-center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Методика инструментального контроля и гигиенической оценки уровней электромагнитных полей на рабочих местах</w:t>
      </w:r>
    </w:p>
    <w:p w:rsidR="003E597A" w:rsidRDefault="003E597A" w:rsidP="003E597A">
      <w:pPr>
        <w:pStyle w:val="align-justify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1. Общие положения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1.1. Инструментальный контроль электромагнитной обстановки на рабочих местах пользователей ПЭВМ производится: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- при вводе ПЭВМ в эксплуатацию и организации новых и реорганизации рабочих мест;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- после проведения организационно-технических мероприятий, направленных на нормализацию электромагнитной обстановки;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- при аттестации рабочих мест по условиям труда;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- по заявкам предприятий и организаций.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1.2. Инструментальный контроль осуществляется органами ГСЭН и (или) испытательными лабораториями (центрами), аккредитованными в установленном порядке.</w:t>
      </w:r>
    </w:p>
    <w:p w:rsidR="003E597A" w:rsidRDefault="003E597A" w:rsidP="003E597A">
      <w:pPr>
        <w:pStyle w:val="align-justify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2. Требования к средствам измерений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2.1. Инструментальный контроль уровней ЭМП должен осуществляться приборами с допускаемой основной относительной погрешностью измерений +-20%, включенными в Государственный реестр средств измерения и имеющими действующие свидетельства о прохождении Государственной поверки.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2.2. Следует отдавать предпочтение измерителям с изотропными антеннами-преобразователями.</w:t>
      </w:r>
    </w:p>
    <w:p w:rsidR="003E597A" w:rsidRDefault="003E597A" w:rsidP="003E597A">
      <w:pPr>
        <w:pStyle w:val="align-justify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3. Подготовка к проведению инструментального контроля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3.1. Составить план (эскиз) размещения рабочих мест пользователей ПЭВМ в помещении.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3.2. Занести в протокол сведения об оборудовании рабочего места - наименования устройств ПЭВМ, фирм-производителей, моделей и заводские (серийные) номера.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3.4. Занести в протокол сведения о наличии санитарно-эпидемиологического заключения на ПЭВМ и </w:t>
      </w:r>
      <w:proofErr w:type="spellStart"/>
      <w:r>
        <w:rPr>
          <w:rFonts w:ascii="Verdana" w:hAnsi="Verdana"/>
          <w:color w:val="333333"/>
          <w:sz w:val="15"/>
          <w:szCs w:val="15"/>
        </w:rPr>
        <w:t>приэкранные</w:t>
      </w:r>
      <w:proofErr w:type="spellEnd"/>
      <w:r>
        <w:rPr>
          <w:rFonts w:ascii="Verdana" w:hAnsi="Verdana"/>
          <w:color w:val="333333"/>
          <w:sz w:val="15"/>
          <w:szCs w:val="15"/>
        </w:rPr>
        <w:t xml:space="preserve"> фильтры (при их наличии).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3.5. Установить на экране ВДТ типичное для данного вида работы изображение (текст, графики и др.).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3.6. При проведении измерений должна быть включена вся вычислительная техника, ВДТ и другое используемое для работы электрооборудование, размещенное в данном помещении.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3.7. Измерения параметров электростатического поля проводить не ранее, чем через 20 минут после включения ПЭВМ.</w:t>
      </w:r>
    </w:p>
    <w:p w:rsidR="003E597A" w:rsidRDefault="003E597A" w:rsidP="003E597A">
      <w:pPr>
        <w:pStyle w:val="align-justify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4. Проведение измерений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4.1. Измерение уровней переменных электрических и магнитных полей, статических электрических полей на рабочем месте, оборудованном ПЭВМ, производится на расстоянии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Verdana" w:hAnsi="Verdana"/>
            <w:color w:val="333333"/>
            <w:sz w:val="15"/>
            <w:szCs w:val="15"/>
          </w:rPr>
          <w:t>50 см</w:t>
        </w:r>
      </w:smartTag>
      <w:r>
        <w:rPr>
          <w:rFonts w:ascii="Verdana" w:hAnsi="Verdana"/>
          <w:color w:val="333333"/>
          <w:sz w:val="15"/>
          <w:szCs w:val="15"/>
        </w:rPr>
        <w:t xml:space="preserve"> от экрана на трех уровнях на высоте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Verdana" w:hAnsi="Verdana"/>
            <w:color w:val="333333"/>
            <w:sz w:val="15"/>
            <w:szCs w:val="15"/>
          </w:rPr>
          <w:t>0,5 м</w:t>
        </w:r>
      </w:smartTag>
      <w:r>
        <w:rPr>
          <w:rFonts w:ascii="Verdana" w:hAnsi="Verdana"/>
          <w:color w:val="333333"/>
          <w:sz w:val="15"/>
          <w:szCs w:val="15"/>
        </w:rPr>
        <w:t xml:space="preserve">, </w:t>
      </w:r>
      <w:smartTag w:uri="urn:schemas-microsoft-com:office:smarttags" w:element="metricconverter">
        <w:smartTagPr>
          <w:attr w:name="ProductID" w:val="1,0 м"/>
        </w:smartTagPr>
        <w:r>
          <w:rPr>
            <w:rFonts w:ascii="Verdana" w:hAnsi="Verdana"/>
            <w:color w:val="333333"/>
            <w:sz w:val="15"/>
            <w:szCs w:val="15"/>
          </w:rPr>
          <w:t>1,0 м</w:t>
        </w:r>
      </w:smartTag>
      <w:r>
        <w:rPr>
          <w:rFonts w:ascii="Verdana" w:hAnsi="Verdana"/>
          <w:color w:val="333333"/>
          <w:sz w:val="15"/>
          <w:szCs w:val="15"/>
        </w:rPr>
        <w:t xml:space="preserve"> и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Verdana" w:hAnsi="Verdana"/>
            <w:color w:val="333333"/>
            <w:sz w:val="15"/>
            <w:szCs w:val="15"/>
          </w:rPr>
          <w:t>1,5 м</w:t>
        </w:r>
      </w:smartTag>
    </w:p>
    <w:p w:rsidR="003E597A" w:rsidRDefault="003E597A" w:rsidP="003E597A">
      <w:pPr>
        <w:pStyle w:val="align-justify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5. Гигиеническая оценка уровней ЭМП на рабочих местах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5.1. Гигиеническая оценка результатов измерений должна осуществляться с учетом погрешности используемого средства метрологического контроля.</w:t>
      </w:r>
    </w:p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5.2. Если на обследуемом рабочем месте, оборудованном ПЭВМ, интенсивность электрического и/или магнитного поля в диапазоне 5 – 2000 Гц превышает значения, приведенные в таблице 5, следует проводить измерения фоновых уровней ЭМП промышленной частоты (при выключенном оборудовании). Фоновый уровень электрического поля частотой 50 Гц не должен превышать 500 В/м. Фоновые уровни индукции магнитного поля не должны превышать значений, вызывающих нарушения требований к визуальным параметрам ВДТ (таблица 6).</w:t>
      </w:r>
    </w:p>
    <w:p w:rsidR="003E597A" w:rsidRDefault="003E597A" w:rsidP="003E597A">
      <w:pPr>
        <w:pStyle w:val="align-center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lastRenderedPageBreak/>
        <w:t>Приложение 4</w:t>
      </w:r>
    </w:p>
    <w:p w:rsidR="003E597A" w:rsidRDefault="003E597A" w:rsidP="003E597A">
      <w:pPr>
        <w:pStyle w:val="align-center1"/>
        <w:rPr>
          <w:rFonts w:ascii="Verdana" w:hAnsi="Verdana"/>
          <w:b/>
          <w:bCs/>
          <w:color w:val="333333"/>
          <w:sz w:val="15"/>
          <w:szCs w:val="15"/>
        </w:rPr>
      </w:pPr>
      <w:proofErr w:type="gramStart"/>
      <w:r>
        <w:rPr>
          <w:rFonts w:ascii="Verdana" w:hAnsi="Verdana"/>
          <w:b/>
          <w:bCs/>
          <w:color w:val="333333"/>
          <w:sz w:val="15"/>
          <w:szCs w:val="15"/>
        </w:rPr>
        <w:t>к СанПиН</w:t>
      </w:r>
      <w:proofErr w:type="gramEnd"/>
      <w:r>
        <w:rPr>
          <w:rFonts w:ascii="Verdana" w:hAnsi="Verdana"/>
          <w:b/>
          <w:bCs/>
          <w:color w:val="333333"/>
          <w:sz w:val="15"/>
          <w:szCs w:val="15"/>
        </w:rPr>
        <w:t xml:space="preserve"> 2.2.2/2.4.1340-03</w:t>
      </w:r>
    </w:p>
    <w:p w:rsidR="003E597A" w:rsidRDefault="003E597A" w:rsidP="003E597A">
      <w:pPr>
        <w:pStyle w:val="align-center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(обязательное)</w:t>
      </w:r>
    </w:p>
    <w:p w:rsidR="003E597A" w:rsidRDefault="003E597A" w:rsidP="003E597A">
      <w:pPr>
        <w:pStyle w:val="align-center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Высота одноместного стола для занятий с ПЭВМ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20"/>
        <w:gridCol w:w="3012"/>
        <w:gridCol w:w="3110"/>
      </w:tblGrid>
      <w:tr w:rsidR="003E597A">
        <w:trPr>
          <w:tblCellSpacing w:w="7" w:type="dxa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Рост учащихся или студентов в обуви, см</w:t>
            </w:r>
          </w:p>
        </w:tc>
        <w:tc>
          <w:tcPr>
            <w:tcW w:w="3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Высота над полом, мм</w:t>
            </w:r>
          </w:p>
        </w:tc>
      </w:tr>
      <w:tr w:rsidR="003E597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97A" w:rsidRDefault="003E597A">
            <w:pPr>
              <w:rPr>
                <w:rFonts w:ascii="Verdana" w:hAnsi="Verdana"/>
                <w:color w:val="333333"/>
                <w:sz w:val="15"/>
                <w:szCs w:val="15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поверхность стола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пространство для ног, не менее</w:t>
            </w:r>
          </w:p>
        </w:tc>
      </w:tr>
      <w:tr w:rsidR="003E597A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116-130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520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400</w:t>
            </w:r>
          </w:p>
        </w:tc>
      </w:tr>
      <w:tr w:rsidR="003E597A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131-145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580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520</w:t>
            </w:r>
          </w:p>
        </w:tc>
      </w:tr>
      <w:tr w:rsidR="003E597A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146-160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640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580</w:t>
            </w:r>
          </w:p>
        </w:tc>
      </w:tr>
      <w:tr w:rsidR="003E597A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161-175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700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640</w:t>
            </w:r>
          </w:p>
        </w:tc>
      </w:tr>
      <w:tr w:rsidR="003E597A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выше 175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760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700</w:t>
            </w:r>
          </w:p>
        </w:tc>
      </w:tr>
    </w:tbl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Примечание: ширина и глубина пространства для ног определяются конструкцией стола.</w:t>
      </w:r>
    </w:p>
    <w:p w:rsidR="003E597A" w:rsidRDefault="003E597A" w:rsidP="003E597A">
      <w:pPr>
        <w:pStyle w:val="align-center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Приложение 5</w:t>
      </w:r>
    </w:p>
    <w:p w:rsidR="003E597A" w:rsidRDefault="003E597A" w:rsidP="003E597A">
      <w:pPr>
        <w:pStyle w:val="align-center1"/>
        <w:rPr>
          <w:rFonts w:ascii="Verdana" w:hAnsi="Verdana"/>
          <w:b/>
          <w:bCs/>
          <w:color w:val="333333"/>
          <w:sz w:val="15"/>
          <w:szCs w:val="15"/>
        </w:rPr>
      </w:pPr>
      <w:proofErr w:type="gramStart"/>
      <w:r>
        <w:rPr>
          <w:rFonts w:ascii="Verdana" w:hAnsi="Verdana"/>
          <w:b/>
          <w:bCs/>
          <w:color w:val="333333"/>
          <w:sz w:val="15"/>
          <w:szCs w:val="15"/>
        </w:rPr>
        <w:t>к СанПиН</w:t>
      </w:r>
      <w:proofErr w:type="gramEnd"/>
      <w:r>
        <w:rPr>
          <w:rFonts w:ascii="Verdana" w:hAnsi="Verdana"/>
          <w:b/>
          <w:bCs/>
          <w:color w:val="333333"/>
          <w:sz w:val="15"/>
          <w:szCs w:val="15"/>
        </w:rPr>
        <w:t xml:space="preserve"> 2.2.2/2.4.1340-03</w:t>
      </w:r>
    </w:p>
    <w:p w:rsidR="003E597A" w:rsidRDefault="003E597A" w:rsidP="003E597A">
      <w:pPr>
        <w:pStyle w:val="align-center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(обязательное)</w:t>
      </w:r>
    </w:p>
    <w:p w:rsidR="003E597A" w:rsidRDefault="003E597A" w:rsidP="003E597A">
      <w:pPr>
        <w:pStyle w:val="align-center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Основные размеры стула для учащихся и студентов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30"/>
        <w:gridCol w:w="1461"/>
        <w:gridCol w:w="1461"/>
        <w:gridCol w:w="1461"/>
        <w:gridCol w:w="1461"/>
        <w:gridCol w:w="1468"/>
      </w:tblGrid>
      <w:tr w:rsidR="003E597A">
        <w:trPr>
          <w:tblCellSpacing w:w="7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Параметры стула</w:t>
            </w:r>
          </w:p>
        </w:tc>
        <w:tc>
          <w:tcPr>
            <w:tcW w:w="4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Рост учащихся и студентов в обуви, см</w:t>
            </w:r>
          </w:p>
        </w:tc>
      </w:tr>
      <w:tr w:rsidR="003E597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97A" w:rsidRDefault="003E597A">
            <w:pPr>
              <w:rPr>
                <w:rFonts w:ascii="Verdana" w:hAnsi="Verdana"/>
                <w:color w:val="333333"/>
                <w:sz w:val="15"/>
                <w:szCs w:val="15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116-130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131-145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146-160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161-175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&gt;175</w:t>
            </w:r>
          </w:p>
        </w:tc>
      </w:tr>
      <w:tr w:rsidR="003E597A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Высота сиденья над полом, мм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300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340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380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420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460</w:t>
            </w:r>
          </w:p>
        </w:tc>
      </w:tr>
      <w:tr w:rsidR="003E597A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Ширина сиденья, не менее, мм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270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290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320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340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360</w:t>
            </w:r>
          </w:p>
        </w:tc>
      </w:tr>
      <w:tr w:rsidR="003E597A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Глубина сиденья, мм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290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330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360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380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400</w:t>
            </w:r>
          </w:p>
        </w:tc>
      </w:tr>
      <w:tr w:rsidR="003E597A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Высота нижнего края спинки над сиденьем, мм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130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150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160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170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190</w:t>
            </w:r>
          </w:p>
        </w:tc>
      </w:tr>
      <w:tr w:rsidR="003E597A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Высота верхнего края спинки над сиденьем, мм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280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310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330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360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400</w:t>
            </w:r>
          </w:p>
        </w:tc>
      </w:tr>
      <w:tr w:rsidR="003E597A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Высота линии прогиба спинки, не менее, мм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170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190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200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210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220</w:t>
            </w:r>
          </w:p>
        </w:tc>
      </w:tr>
      <w:tr w:rsidR="003E597A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Радиус изгиба переднего края сиденья, мм</w:t>
            </w:r>
          </w:p>
        </w:tc>
        <w:tc>
          <w:tcPr>
            <w:tcW w:w="4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20-50</w:t>
            </w:r>
          </w:p>
        </w:tc>
      </w:tr>
      <w:tr w:rsidR="003E597A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Угол наклона сиденья, °</w:t>
            </w:r>
          </w:p>
        </w:tc>
        <w:tc>
          <w:tcPr>
            <w:tcW w:w="4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0-4</w:t>
            </w:r>
          </w:p>
        </w:tc>
      </w:tr>
      <w:tr w:rsidR="003E597A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 xml:space="preserve">Угол наклона </w:t>
            </w:r>
            <w:r>
              <w:rPr>
                <w:rFonts w:ascii="Verdana" w:hAnsi="Verdana"/>
                <w:color w:val="333333"/>
                <w:sz w:val="15"/>
                <w:szCs w:val="15"/>
              </w:rPr>
              <w:lastRenderedPageBreak/>
              <w:t xml:space="preserve">спинки, ° </w:t>
            </w:r>
          </w:p>
        </w:tc>
        <w:tc>
          <w:tcPr>
            <w:tcW w:w="4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lastRenderedPageBreak/>
              <w:t>95-108</w:t>
            </w:r>
          </w:p>
        </w:tc>
      </w:tr>
      <w:tr w:rsidR="003E597A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Радиус спинки в плане, не менее, мм</w:t>
            </w:r>
          </w:p>
        </w:tc>
        <w:tc>
          <w:tcPr>
            <w:tcW w:w="4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300</w:t>
            </w:r>
          </w:p>
        </w:tc>
      </w:tr>
    </w:tbl>
    <w:p w:rsidR="003E597A" w:rsidRDefault="003E597A" w:rsidP="003E597A">
      <w:pPr>
        <w:pStyle w:val="align-justify1"/>
        <w:rPr>
          <w:rFonts w:ascii="Verdana" w:hAnsi="Verdana"/>
          <w:color w:val="333333"/>
          <w:sz w:val="15"/>
          <w:szCs w:val="15"/>
        </w:rPr>
      </w:pPr>
    </w:p>
    <w:p w:rsidR="003E597A" w:rsidRDefault="003E597A" w:rsidP="003E597A">
      <w:pPr>
        <w:pStyle w:val="align-center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Приложение 6</w:t>
      </w:r>
    </w:p>
    <w:p w:rsidR="003E597A" w:rsidRDefault="003E597A" w:rsidP="003E597A">
      <w:pPr>
        <w:pStyle w:val="align-center1"/>
        <w:rPr>
          <w:rFonts w:ascii="Verdana" w:hAnsi="Verdana"/>
          <w:b/>
          <w:bCs/>
          <w:color w:val="333333"/>
          <w:sz w:val="15"/>
          <w:szCs w:val="15"/>
        </w:rPr>
      </w:pPr>
      <w:proofErr w:type="gramStart"/>
      <w:r>
        <w:rPr>
          <w:rFonts w:ascii="Verdana" w:hAnsi="Verdana"/>
          <w:b/>
          <w:bCs/>
          <w:color w:val="333333"/>
          <w:sz w:val="15"/>
          <w:szCs w:val="15"/>
        </w:rPr>
        <w:t>к СанПиН</w:t>
      </w:r>
      <w:proofErr w:type="gramEnd"/>
      <w:r>
        <w:rPr>
          <w:rFonts w:ascii="Verdana" w:hAnsi="Verdana"/>
          <w:b/>
          <w:bCs/>
          <w:color w:val="333333"/>
          <w:sz w:val="15"/>
          <w:szCs w:val="15"/>
        </w:rPr>
        <w:t xml:space="preserve"> 2.2.2/2.4.1340-3</w:t>
      </w:r>
    </w:p>
    <w:p w:rsidR="003E597A" w:rsidRDefault="003E597A" w:rsidP="003E597A">
      <w:pPr>
        <w:pStyle w:val="align-center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(обязательное)</w:t>
      </w:r>
    </w:p>
    <w:p w:rsidR="003E597A" w:rsidRDefault="003E597A" w:rsidP="003E597A">
      <w:pPr>
        <w:pStyle w:val="align-center1"/>
        <w:rPr>
          <w:rFonts w:ascii="Verdana" w:hAnsi="Verdana"/>
          <w:b/>
          <w:bCs/>
          <w:color w:val="333333"/>
          <w:sz w:val="15"/>
          <w:szCs w:val="15"/>
        </w:rPr>
      </w:pPr>
      <w:r>
        <w:rPr>
          <w:rFonts w:ascii="Verdana" w:hAnsi="Verdana"/>
          <w:b/>
          <w:bCs/>
          <w:color w:val="333333"/>
          <w:sz w:val="15"/>
          <w:szCs w:val="15"/>
        </w:rPr>
        <w:t>Размеры стула для занятий с ПЭВМ детей дошкольного возраста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3E597A" w:rsidTr="00000197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Параметры стула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Размеры, не менее, мм</w:t>
            </w:r>
          </w:p>
        </w:tc>
      </w:tr>
      <w:tr w:rsidR="003E597A" w:rsidTr="00000197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Высота сиденья над полом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260</w:t>
            </w:r>
          </w:p>
        </w:tc>
      </w:tr>
      <w:tr w:rsidR="003E597A" w:rsidTr="00000197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Ширина сиденья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250</w:t>
            </w:r>
          </w:p>
        </w:tc>
      </w:tr>
      <w:tr w:rsidR="003E597A" w:rsidTr="00000197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Глубина сиденья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260</w:t>
            </w:r>
          </w:p>
        </w:tc>
      </w:tr>
      <w:tr w:rsidR="003E597A" w:rsidTr="00000197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Высота нижнего края спинки над сиденьем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120</w:t>
            </w:r>
          </w:p>
        </w:tc>
      </w:tr>
      <w:tr w:rsidR="003E597A" w:rsidTr="00000197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Высота верхнего края спинки над сиденьем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250</w:t>
            </w:r>
          </w:p>
        </w:tc>
      </w:tr>
      <w:tr w:rsidR="003E597A" w:rsidTr="00000197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Высота прогиба спинки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160</w:t>
            </w:r>
          </w:p>
        </w:tc>
      </w:tr>
      <w:tr w:rsidR="003E597A" w:rsidTr="00000197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justify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Радиус изгиба переднего края сиденья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97A" w:rsidRDefault="003E597A">
            <w:pPr>
              <w:pStyle w:val="align-center1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20-50</w:t>
            </w:r>
          </w:p>
        </w:tc>
      </w:tr>
    </w:tbl>
    <w:p w:rsidR="00000197" w:rsidRPr="00000197" w:rsidRDefault="00000197" w:rsidP="00000197">
      <w:pPr>
        <w:jc w:val="both"/>
        <w:rPr>
          <w:b/>
          <w:color w:val="5B9BD5"/>
        </w:rPr>
      </w:pPr>
      <w:r w:rsidRPr="00000197">
        <w:rPr>
          <w:b/>
          <w:color w:val="5B9BD5"/>
        </w:rPr>
        <w:t>-----------------------------------------------------------------------------------------------------------</w:t>
      </w:r>
    </w:p>
    <w:p w:rsidR="00000197" w:rsidRDefault="00000197" w:rsidP="00000197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Российский портал информатизации образования http://www.portalsga.ru" style="position:absolute;left:0;text-align:left;margin-left:1.05pt;margin-top:6.15pt;width:58.5pt;height:75pt;z-index:1;visibility:visible;mso-wrap-style:square;mso-width-percent:0;mso-height-percent:0;mso-wrap-distance-left:2.85pt;mso-wrap-distance-top:2.85pt;mso-wrap-distance-right:8.5pt;mso-wrap-distance-bottom:2.85pt;mso-position-horizontal:absolute;mso-position-horizontal-relative:text;mso-position-vertical:absolute;mso-position-vertical-relative:text;mso-width-percent:0;mso-height-percent:0;mso-width-relative:page;mso-height-relative:page" o:allowoverlap="f" stroked="t" strokecolor="#1f497d" strokeweight=".25pt">
            <v:imagedata r:id="rId4" o:title="www.portalsga"/>
            <w10:wrap type="square"/>
          </v:shape>
        </w:pict>
      </w:r>
      <w:hyperlink r:id="rId5" w:history="1">
        <w:r w:rsidRPr="009C2D6F">
          <w:rPr>
            <w:rStyle w:val="a5"/>
          </w:rPr>
          <w:t>Российский портал информатизации образования</w:t>
        </w:r>
      </w:hyperlink>
      <w:r w:rsidRPr="009C2D6F">
        <w:t xml:space="preserve"> </w:t>
      </w:r>
      <w:hyperlink r:id="rId6" w:history="1">
        <w:r w:rsidRPr="009C2D6F">
          <w:rPr>
            <w:rStyle w:val="a5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p w:rsidR="00AC02C3" w:rsidRDefault="00AC02C3" w:rsidP="00000197">
      <w:pPr>
        <w:jc w:val="both"/>
      </w:pPr>
    </w:p>
    <w:sectPr w:rsidR="00AC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97A"/>
    <w:rsid w:val="00000197"/>
    <w:rsid w:val="001B5506"/>
    <w:rsid w:val="003E597A"/>
    <w:rsid w:val="006D0BA5"/>
    <w:rsid w:val="009F537B"/>
    <w:rsid w:val="00A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EE704E0-3210-4468-8B43-6E00E7CF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lign-right1">
    <w:name w:val="align-right1"/>
    <w:basedOn w:val="a"/>
    <w:rsid w:val="003E597A"/>
    <w:pPr>
      <w:spacing w:before="100" w:beforeAutospacing="1" w:after="100" w:afterAutospacing="1"/>
      <w:jc w:val="right"/>
    </w:pPr>
  </w:style>
  <w:style w:type="paragraph" w:customStyle="1" w:styleId="align-center1">
    <w:name w:val="align-center1"/>
    <w:basedOn w:val="a"/>
    <w:rsid w:val="003E597A"/>
    <w:pPr>
      <w:spacing w:before="100" w:beforeAutospacing="1" w:after="100" w:afterAutospacing="1"/>
      <w:jc w:val="center"/>
    </w:pPr>
  </w:style>
  <w:style w:type="paragraph" w:customStyle="1" w:styleId="align-justify1">
    <w:name w:val="align-justify1"/>
    <w:basedOn w:val="a"/>
    <w:rsid w:val="003E597A"/>
    <w:pPr>
      <w:spacing w:before="100" w:beforeAutospacing="1" w:after="100" w:afterAutospacing="1"/>
      <w:jc w:val="both"/>
    </w:pPr>
  </w:style>
  <w:style w:type="paragraph" w:styleId="a3">
    <w:name w:val="Title"/>
    <w:basedOn w:val="a"/>
    <w:next w:val="a"/>
    <w:link w:val="a4"/>
    <w:qFormat/>
    <w:rsid w:val="009F53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9F537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uiPriority w:val="99"/>
    <w:unhideWhenUsed/>
    <w:rsid w:val="000001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sga.ru" TargetMode="External"/><Relationship Id="rId5" Type="http://schemas.openxmlformats.org/officeDocument/2006/relationships/hyperlink" Target="http://portalsg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5344</Words>
  <Characters>30466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Научно-методическое обеспечение и организация многоуровневой подготовки кадров информатизации региональной системы общего</vt:lpstr>
    </vt:vector>
  </TitlesOfParts>
  <Company>Федеральное Собрание РФ</Company>
  <LinksUpToDate>false</LinksUpToDate>
  <CharactersWithSpaces>35739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Научно-методическое обеспечение и организация многоуровневой подготовки кадров информатизации региональной системы общего</dc:title>
  <dc:subject/>
  <dc:creator>portalsga.ru</dc:creator>
  <cp:keywords>Постановление Главного государственного санитарного врача РФ</cp:keywords>
  <cp:lastModifiedBy>RePack by Diakov</cp:lastModifiedBy>
  <cp:revision>2</cp:revision>
  <dcterms:created xsi:type="dcterms:W3CDTF">2017-04-14T17:47:00Z</dcterms:created>
  <dcterms:modified xsi:type="dcterms:W3CDTF">2017-04-14T17:47:00Z</dcterms:modified>
</cp:coreProperties>
</file>